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9B31">
      <w:pPr>
        <w:spacing w:after="0" w:line="240" w:lineRule="auto"/>
        <w:jc w:val="center"/>
        <w:rPr>
          <w:rFonts w:ascii="Times New Roman" w:hAnsi="Times New Roman"/>
          <w:b/>
          <w:sz w:val="24"/>
        </w:rPr>
      </w:pPr>
      <w:r>
        <w:rPr>
          <w:rFonts w:ascii="Times New Roman" w:hAnsi="Times New Roman"/>
          <w:b/>
          <w:sz w:val="24"/>
        </w:rPr>
        <w:t>INFORMASI PENULIS</w:t>
      </w:r>
    </w:p>
    <w:p w14:paraId="12B48CEE">
      <w:pPr>
        <w:spacing w:after="0" w:line="240" w:lineRule="auto"/>
        <w:jc w:val="center"/>
        <w:rPr>
          <w:rFonts w:ascii="Times New Roman" w:hAnsi="Times New Roman"/>
          <w:sz w:val="24"/>
        </w:rPr>
      </w:pPr>
      <w:r>
        <w:rPr>
          <w:rFonts w:ascii="Times New Roman" w:hAnsi="Times New Roman"/>
          <w:sz w:val="24"/>
        </w:rPr>
        <w:t>(Informasi ini diperlukan untuk penulisan metadata)</w:t>
      </w:r>
    </w:p>
    <w:p w14:paraId="338F500B">
      <w:pPr>
        <w:spacing w:after="0" w:line="240" w:lineRule="auto"/>
        <w:jc w:val="center"/>
        <w:rPr>
          <w:rFonts w:ascii="Times New Roman" w:hAnsi="Times New Roman"/>
          <w:sz w:val="24"/>
        </w:rPr>
      </w:pPr>
    </w:p>
    <w:p w14:paraId="1BFE77B6">
      <w:pPr>
        <w:pStyle w:val="17"/>
        <w:numPr>
          <w:ilvl w:val="0"/>
          <w:numId w:val="1"/>
        </w:numPr>
        <w:spacing w:after="0" w:line="240" w:lineRule="auto"/>
        <w:ind w:left="340" w:hanging="340"/>
        <w:contextualSpacing w:val="0"/>
        <w:rPr>
          <w:rFonts w:ascii="Times New Roman" w:hAnsi="Times New Roman" w:cs="Times New Roman"/>
          <w:b/>
          <w:sz w:val="24"/>
          <w:szCs w:val="24"/>
        </w:rPr>
      </w:pPr>
      <w:r>
        <w:rPr>
          <w:rFonts w:ascii="Times New Roman" w:hAnsi="Times New Roman" w:cs="Times New Roman"/>
          <w:b/>
          <w:sz w:val="24"/>
          <w:szCs w:val="24"/>
        </w:rPr>
        <w:t xml:space="preserve">Penulis Pertama </w:t>
      </w:r>
    </w:p>
    <w:p w14:paraId="0C43400F">
      <w:pPr>
        <w:pStyle w:val="17"/>
        <w:numPr>
          <w:ilvl w:val="0"/>
          <w:numId w:val="2"/>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 Wanti Fitrianti</w:t>
      </w:r>
    </w:p>
    <w:p w14:paraId="0AFD491B">
      <w:pPr>
        <w:pStyle w:val="17"/>
        <w:numPr>
          <w:ilvl w:val="0"/>
          <w:numId w:val="2"/>
        </w:numPr>
        <w:tabs>
          <w:tab w:val="left" w:pos="2410"/>
        </w:tabs>
        <w:spacing w:after="0" w:line="240" w:lineRule="auto"/>
        <w:ind w:left="680" w:right="-284" w:hanging="340"/>
        <w:contextualSpacing w:val="0"/>
        <w:rPr>
          <w:rFonts w:ascii="Times New Roman" w:hAnsi="Times New Roman" w:cs="Times New Roman"/>
          <w:sz w:val="20"/>
          <w:szCs w:val="20"/>
          <w:lang w:val="en-US"/>
        </w:rPr>
      </w:pPr>
      <w:r>
        <w:rPr>
          <w:rFonts w:ascii="Times New Roman" w:hAnsi="Times New Roman" w:cs="Times New Roman"/>
          <w:sz w:val="24"/>
          <w:szCs w:val="24"/>
          <w:lang w:val="en-US"/>
        </w:rPr>
        <w:t>Afiliasi</w:t>
      </w:r>
      <w:r>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0"/>
          <w:szCs w:val="20"/>
          <w:lang w:val="en-US"/>
        </w:rPr>
        <w:t xml:space="preserve">Jurusan Sosial Ekonomi Pertanian Fakultas Pertanian Universitas Tanjungpura  </w:t>
      </w:r>
    </w:p>
    <w:p w14:paraId="31EA597D">
      <w:pPr>
        <w:pStyle w:val="17"/>
        <w:numPr>
          <w:ilvl w:val="0"/>
          <w:numId w:val="2"/>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 Jl. Prof. Hadari Nawawi Pontianak</w:t>
      </w:r>
    </w:p>
    <w:p w14:paraId="0677F199">
      <w:pPr>
        <w:pStyle w:val="17"/>
        <w:numPr>
          <w:ilvl w:val="0"/>
          <w:numId w:val="2"/>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r>
      <w:r>
        <w:rPr>
          <w:rFonts w:ascii="Times New Roman" w:hAnsi="Times New Roman" w:cs="Times New Roman"/>
          <w:sz w:val="24"/>
          <w:szCs w:val="24"/>
          <w:lang w:val="en-US"/>
        </w:rPr>
        <w:t>: wanti.fitrianti@faperta.untan.ac.id</w:t>
      </w:r>
    </w:p>
    <w:p w14:paraId="427C1E40">
      <w:pPr>
        <w:pStyle w:val="17"/>
        <w:numPr>
          <w:ilvl w:val="0"/>
          <w:numId w:val="2"/>
        </w:numPr>
        <w:tabs>
          <w:tab w:val="left" w:pos="2410"/>
          <w:tab w:val="left" w:pos="2835"/>
        </w:tabs>
        <w:spacing w:after="0" w:line="240" w:lineRule="auto"/>
        <w:ind w:left="680" w:right="-426"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    :</w:t>
      </w:r>
      <w:r>
        <w:rPr>
          <w:rFonts w:ascii="Times New Roman" w:hAnsi="Times New Roman" w:cs="Times New Roman"/>
          <w:sz w:val="24"/>
          <w:szCs w:val="24"/>
          <w:lang w:val="en-US"/>
        </w:rPr>
        <w:t xml:space="preserve">https://scholar.google.com/citations?hl=en&amp;user=8pGOcpsAAAAJ </w:t>
      </w:r>
    </w:p>
    <w:p w14:paraId="2EA14269">
      <w:pPr>
        <w:pStyle w:val="17"/>
        <w:numPr>
          <w:ilvl w:val="0"/>
          <w:numId w:val="2"/>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r>
      <w:r>
        <w:rPr>
          <w:rFonts w:ascii="Times New Roman" w:hAnsi="Times New Roman" w:cs="Times New Roman"/>
          <w:sz w:val="24"/>
          <w:szCs w:val="24"/>
          <w:lang w:val="en-US"/>
        </w:rPr>
        <w:t>: 0000-0001-7056-7086</w:t>
      </w:r>
    </w:p>
    <w:p w14:paraId="7B7D82B8">
      <w:pPr>
        <w:spacing w:after="0" w:line="240" w:lineRule="auto"/>
        <w:ind w:left="454"/>
        <w:rPr>
          <w:rFonts w:ascii="Times New Roman" w:hAnsi="Times New Roman"/>
          <w:sz w:val="24"/>
        </w:rPr>
      </w:pPr>
    </w:p>
    <w:p w14:paraId="190CBF1D">
      <w:pPr>
        <w:pStyle w:val="17"/>
        <w:numPr>
          <w:ilvl w:val="0"/>
          <w:numId w:val="1"/>
        </w:numPr>
        <w:spacing w:after="0" w:line="240" w:lineRule="auto"/>
        <w:ind w:left="340" w:hanging="340"/>
        <w:contextualSpacing w:val="0"/>
        <w:rPr>
          <w:rFonts w:ascii="Times New Roman" w:hAnsi="Times New Roman" w:cs="Times New Roman"/>
          <w:b/>
          <w:sz w:val="24"/>
          <w:szCs w:val="24"/>
          <w:lang w:val="en-US"/>
        </w:rPr>
      </w:pPr>
      <w:r>
        <w:rPr>
          <w:rFonts w:ascii="Times New Roman" w:hAnsi="Times New Roman" w:cs="Times New Roman"/>
          <w:b/>
          <w:sz w:val="24"/>
          <w:szCs w:val="24"/>
        </w:rPr>
        <w:t>Penulis</w:t>
      </w:r>
      <w:r>
        <w:rPr>
          <w:rFonts w:ascii="Times New Roman" w:hAnsi="Times New Roman" w:cs="Times New Roman"/>
          <w:b/>
          <w:sz w:val="24"/>
          <w:szCs w:val="24"/>
          <w:lang w:val="en-US"/>
        </w:rPr>
        <w:t xml:space="preserve"> Kedua </w:t>
      </w:r>
    </w:p>
    <w:p w14:paraId="190C6F2A">
      <w:pPr>
        <w:pStyle w:val="17"/>
        <w:numPr>
          <w:ilvl w:val="0"/>
          <w:numId w:val="3"/>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 Jajat Sudrajat</w:t>
      </w:r>
    </w:p>
    <w:p w14:paraId="0D115782">
      <w:pPr>
        <w:pStyle w:val="17"/>
        <w:numPr>
          <w:ilvl w:val="0"/>
          <w:numId w:val="3"/>
        </w:numPr>
        <w:tabs>
          <w:tab w:val="left" w:pos="2410"/>
        </w:tabs>
        <w:spacing w:after="0" w:line="240" w:lineRule="auto"/>
        <w:ind w:left="680" w:right="-143" w:hanging="340"/>
        <w:contextualSpacing w:val="0"/>
        <w:rPr>
          <w:rFonts w:ascii="Times New Roman" w:hAnsi="Times New Roman" w:cs="Times New Roman"/>
          <w:sz w:val="20"/>
          <w:szCs w:val="20"/>
          <w:lang w:val="en-US"/>
        </w:rPr>
      </w:pPr>
      <w:r>
        <w:rPr>
          <w:rFonts w:ascii="Times New Roman" w:hAnsi="Times New Roman" w:cs="Times New Roman"/>
          <w:sz w:val="24"/>
          <w:szCs w:val="24"/>
        </w:rPr>
        <w:t>Afiliasi</w:t>
      </w:r>
      <w:r>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Pr>
          <w:rFonts w:ascii="Times New Roman" w:hAnsi="Times New Roman" w:cs="Times New Roman"/>
          <w:sz w:val="20"/>
          <w:szCs w:val="20"/>
          <w:lang w:val="en-US"/>
        </w:rPr>
        <w:t xml:space="preserve">Jurusan Sosial Ekonomi Pertanian Fakultas Pertanian Universitas Tanjungpura  </w:t>
      </w:r>
    </w:p>
    <w:p w14:paraId="6D56C102">
      <w:pPr>
        <w:pStyle w:val="17"/>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w:t>
      </w:r>
      <w:r>
        <w:t xml:space="preserve"> </w:t>
      </w:r>
      <w:r>
        <w:rPr>
          <w:rFonts w:ascii="Times New Roman" w:hAnsi="Times New Roman" w:cs="Times New Roman"/>
          <w:sz w:val="24"/>
          <w:szCs w:val="24"/>
        </w:rPr>
        <w:t>Jl. Prof. Hadari Nawawi Pontianak</w:t>
      </w:r>
    </w:p>
    <w:p w14:paraId="34375F11">
      <w:pPr>
        <w:pStyle w:val="17"/>
        <w:numPr>
          <w:ilvl w:val="0"/>
          <w:numId w:val="3"/>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r>
      <w:r>
        <w:rPr>
          <w:rFonts w:ascii="Times New Roman" w:hAnsi="Times New Roman" w:cs="Times New Roman"/>
          <w:sz w:val="24"/>
          <w:szCs w:val="24"/>
          <w:lang w:val="en-US"/>
        </w:rPr>
        <w:t>:jajat.sudrajat@faperta.untan.ac.id</w:t>
      </w:r>
    </w:p>
    <w:p w14:paraId="64AF1F1A">
      <w:pPr>
        <w:pStyle w:val="17"/>
        <w:numPr>
          <w:ilvl w:val="0"/>
          <w:numId w:val="3"/>
        </w:numPr>
        <w:tabs>
          <w:tab w:val="left" w:pos="2410"/>
        </w:tabs>
        <w:spacing w:after="0" w:line="240" w:lineRule="auto"/>
        <w:ind w:left="709" w:right="-1701"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  :</w:t>
      </w:r>
      <w:r>
        <w:t xml:space="preserve"> </w:t>
      </w:r>
      <w:r>
        <w:rPr>
          <w:rFonts w:ascii="Times New Roman" w:hAnsi="Times New Roman" w:cs="Times New Roman"/>
          <w:sz w:val="24"/>
          <w:szCs w:val="24"/>
          <w:lang w:val="en-US"/>
        </w:rPr>
        <w:t>https://scholar.google.co.id/citations?user=CYE5ZnwAAAAJ&amp;hl=id</w:t>
      </w:r>
    </w:p>
    <w:p w14:paraId="0833986B">
      <w:pPr>
        <w:pStyle w:val="17"/>
        <w:numPr>
          <w:ilvl w:val="0"/>
          <w:numId w:val="3"/>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r>
      <w:r>
        <w:rPr>
          <w:rFonts w:ascii="Times New Roman" w:hAnsi="Times New Roman" w:cs="Times New Roman"/>
          <w:sz w:val="24"/>
          <w:szCs w:val="24"/>
          <w:lang w:val="en-US"/>
        </w:rPr>
        <w:t>: 0000-0002-5970-8498</w:t>
      </w:r>
    </w:p>
    <w:p w14:paraId="1B81A3A2">
      <w:pPr>
        <w:spacing w:after="0" w:line="240" w:lineRule="auto"/>
        <w:ind w:left="360"/>
        <w:rPr>
          <w:rFonts w:ascii="Times New Roman" w:hAnsi="Times New Roman"/>
          <w:sz w:val="24"/>
        </w:rPr>
      </w:pPr>
    </w:p>
    <w:p w14:paraId="576F2FFA">
      <w:pPr>
        <w:pStyle w:val="17"/>
        <w:numPr>
          <w:ilvl w:val="0"/>
          <w:numId w:val="1"/>
        </w:numPr>
        <w:spacing w:after="0" w:line="240" w:lineRule="auto"/>
        <w:ind w:left="340" w:hanging="340"/>
        <w:contextualSpacing w:val="0"/>
        <w:rPr>
          <w:rFonts w:ascii="Times New Roman" w:hAnsi="Times New Roman" w:cs="Times New Roman"/>
          <w:b/>
          <w:sz w:val="24"/>
          <w:szCs w:val="24"/>
          <w:lang w:val="en-US"/>
        </w:rPr>
      </w:pPr>
      <w:r>
        <w:rPr>
          <w:rFonts w:ascii="Times New Roman" w:hAnsi="Times New Roman" w:cs="Times New Roman"/>
          <w:b/>
          <w:sz w:val="24"/>
          <w:szCs w:val="24"/>
        </w:rPr>
        <w:t>Penulis</w:t>
      </w:r>
      <w:r>
        <w:rPr>
          <w:rFonts w:ascii="Times New Roman" w:hAnsi="Times New Roman" w:cs="Times New Roman"/>
          <w:b/>
          <w:sz w:val="24"/>
          <w:szCs w:val="24"/>
          <w:lang w:val="en-US"/>
        </w:rPr>
        <w:t xml:space="preserve"> Ketiga dan seterusnya </w:t>
      </w:r>
    </w:p>
    <w:p w14:paraId="5F907784">
      <w:pPr>
        <w:pStyle w:val="17"/>
        <w:numPr>
          <w:ilvl w:val="0"/>
          <w:numId w:val="4"/>
        </w:numPr>
        <w:tabs>
          <w:tab w:val="left" w:pos="2410"/>
        </w:tabs>
        <w:spacing w:after="0" w:line="240" w:lineRule="auto"/>
        <w:ind w:left="680" w:hanging="340"/>
        <w:contextualSpacing w:val="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 (ditulis lengkap tanpa gelar</w:t>
      </w:r>
      <w:r>
        <w:rPr>
          <w:rFonts w:ascii="Times New Roman" w:hAnsi="Times New Roman" w:cs="Times New Roman"/>
          <w:sz w:val="24"/>
          <w:szCs w:val="24"/>
          <w:lang w:val="en-US"/>
        </w:rPr>
        <w:t xml:space="preserve"> dan tanpa singkatan</w:t>
      </w:r>
      <w:r>
        <w:rPr>
          <w:rFonts w:ascii="Times New Roman" w:hAnsi="Times New Roman" w:cs="Times New Roman"/>
          <w:sz w:val="24"/>
          <w:szCs w:val="24"/>
        </w:rPr>
        <w:t>)</w:t>
      </w:r>
    </w:p>
    <w:p w14:paraId="4445D9CC">
      <w:pPr>
        <w:pStyle w:val="17"/>
        <w:numPr>
          <w:ilvl w:val="0"/>
          <w:numId w:val="4"/>
        </w:numPr>
        <w:tabs>
          <w:tab w:val="left" w:pos="2410"/>
        </w:tabs>
        <w:spacing w:after="0" w:line="240" w:lineRule="auto"/>
        <w:ind w:left="680" w:right="-851" w:hanging="340"/>
        <w:contextualSpacing w:val="0"/>
        <w:rPr>
          <w:rFonts w:ascii="Times New Roman" w:hAnsi="Times New Roman" w:cs="Times New Roman"/>
          <w:sz w:val="24"/>
          <w:szCs w:val="24"/>
          <w:lang w:val="en-US"/>
        </w:rPr>
      </w:pPr>
      <w:r>
        <w:rPr>
          <w:rFonts w:ascii="Times New Roman" w:hAnsi="Times New Roman" w:cs="Times New Roman"/>
          <w:sz w:val="24"/>
          <w:szCs w:val="24"/>
        </w:rPr>
        <w:t>Afiliasi</w:t>
      </w:r>
      <w:r>
        <w:rPr>
          <w:rFonts w:ascii="Times New Roman" w:hAnsi="Times New Roman" w:cs="Times New Roman"/>
          <w:sz w:val="24"/>
          <w:szCs w:val="24"/>
          <w:lang w:val="en-US"/>
        </w:rPr>
        <w:tab/>
      </w:r>
      <w:r>
        <w:rPr>
          <w:rFonts w:ascii="Times New Roman" w:hAnsi="Times New Roman" w:cs="Times New Roman"/>
          <w:sz w:val="24"/>
          <w:szCs w:val="24"/>
          <w:lang w:val="en-US"/>
        </w:rPr>
        <w:t>:</w:t>
      </w:r>
      <w:r>
        <w:t xml:space="preserve"> </w:t>
      </w:r>
      <w:r>
        <w:rPr>
          <w:rFonts w:ascii="Times New Roman" w:hAnsi="Times New Roman" w:cs="Times New Roman"/>
          <w:sz w:val="20"/>
          <w:szCs w:val="20"/>
          <w:lang w:val="en-US"/>
        </w:rPr>
        <w:t>Jurusan Sosial Ekonomi Pertanian Fakultas Pertanian</w:t>
      </w:r>
      <w:r>
        <w:rPr>
          <w:sz w:val="20"/>
          <w:szCs w:val="20"/>
        </w:rPr>
        <w:t xml:space="preserve"> </w:t>
      </w:r>
      <w:r>
        <w:rPr>
          <w:rFonts w:ascii="Times New Roman" w:hAnsi="Times New Roman" w:cs="Times New Roman"/>
          <w:sz w:val="20"/>
          <w:szCs w:val="20"/>
          <w:lang w:val="en-US"/>
        </w:rPr>
        <w:t>Universitas Tanjungpura</w:t>
      </w:r>
      <w:r>
        <w:rPr>
          <w:rFonts w:ascii="Times New Roman" w:hAnsi="Times New Roman" w:cs="Times New Roman"/>
          <w:sz w:val="24"/>
          <w:szCs w:val="24"/>
          <w:lang w:val="en-US"/>
        </w:rPr>
        <w:t xml:space="preserve">   </w:t>
      </w:r>
    </w:p>
    <w:p w14:paraId="46C12E97">
      <w:pPr>
        <w:pStyle w:val="17"/>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w:t>
      </w:r>
      <w:r>
        <w:t xml:space="preserve"> </w:t>
      </w:r>
      <w:r>
        <w:rPr>
          <w:rFonts w:ascii="Times New Roman" w:hAnsi="Times New Roman" w:cs="Times New Roman"/>
          <w:sz w:val="24"/>
          <w:szCs w:val="24"/>
        </w:rPr>
        <w:t>Jl. Prof. Hadari Nawawi Pontianak</w:t>
      </w:r>
    </w:p>
    <w:p w14:paraId="7C253BA1">
      <w:pPr>
        <w:pStyle w:val="17"/>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r>
      <w:r>
        <w:rPr>
          <w:rFonts w:ascii="Times New Roman" w:hAnsi="Times New Roman" w:cs="Times New Roman"/>
          <w:sz w:val="24"/>
          <w:szCs w:val="24"/>
          <w:lang w:val="en-US"/>
        </w:rPr>
        <w:t>:adi.suyatno@faperta.untan.ac.id</w:t>
      </w:r>
    </w:p>
    <w:p w14:paraId="4C6C1E73">
      <w:pPr>
        <w:pStyle w:val="17"/>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r>
      <w:r>
        <w:rPr>
          <w:rFonts w:ascii="Times New Roman" w:hAnsi="Times New Roman" w:cs="Times New Roman"/>
          <w:sz w:val="24"/>
          <w:szCs w:val="24"/>
        </w:rPr>
        <w:t xml:space="preserve">: </w:t>
      </w:r>
      <w:r>
        <w:fldChar w:fldCharType="begin"/>
      </w:r>
      <w:r>
        <w:instrText xml:space="preserve"> HYPERLINK "https://scholar.google.com/citations?user=mIyn-EYAAAAJ&amp;hl=id" </w:instrText>
      </w:r>
      <w:r>
        <w:fldChar w:fldCharType="separate"/>
      </w:r>
      <w:r>
        <w:rPr>
          <w:rStyle w:val="10"/>
          <w:rFonts w:ascii="Times New Roman" w:hAnsi="Times New Roman" w:cs="Times New Roman"/>
          <w:sz w:val="24"/>
          <w:szCs w:val="24"/>
          <w:lang w:val="en-US"/>
        </w:rPr>
        <w:t>https://scholar.google.com/citations?user=mIyn-EYAAAAJ&amp;hl=id</w:t>
      </w:r>
      <w:r>
        <w:rPr>
          <w:rStyle w:val="10"/>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76F196AA">
      <w:pPr>
        <w:pStyle w:val="17"/>
        <w:numPr>
          <w:ilvl w:val="0"/>
          <w:numId w:val="4"/>
        </w:numPr>
        <w:tabs>
          <w:tab w:val="left" w:pos="2410"/>
        </w:tabs>
        <w:spacing w:after="0" w:line="240" w:lineRule="auto"/>
        <w:ind w:left="680" w:hanging="340"/>
        <w:contextualSpacing w:val="0"/>
        <w:rPr>
          <w:rFonts w:ascii="Times New Roman" w:hAnsi="Times New Roman" w:cs="Times New Roman"/>
          <w:sz w:val="24"/>
          <w:szCs w:val="24"/>
          <w:lang w:val="en-US"/>
        </w:rPr>
      </w:pPr>
      <w:r>
        <w:rPr>
          <w:rFonts w:ascii="Times New Roman" w:hAnsi="Times New Roman" w:cs="Times New Roman"/>
          <w:sz w:val="24"/>
          <w:szCs w:val="24"/>
          <w:lang w:val="en-US"/>
        </w:rPr>
        <w:t>Orcid ID</w:t>
      </w:r>
      <w:r>
        <w:rPr>
          <w:rFonts w:ascii="Times New Roman" w:hAnsi="Times New Roman" w:cs="Times New Roman"/>
          <w:sz w:val="24"/>
          <w:szCs w:val="24"/>
          <w:lang w:val="en-US"/>
        </w:rPr>
        <w:tab/>
      </w:r>
      <w:r>
        <w:rPr>
          <w:rFonts w:ascii="Times New Roman" w:hAnsi="Times New Roman" w:cs="Times New Roman"/>
          <w:sz w:val="24"/>
          <w:szCs w:val="24"/>
          <w:lang w:val="en-US"/>
        </w:rPr>
        <w:t>: (jika ada)</w:t>
      </w:r>
    </w:p>
    <w:p w14:paraId="2D2DFCAF">
      <w:pPr>
        <w:pStyle w:val="16"/>
        <w:jc w:val="center"/>
        <w:rPr>
          <w:rFonts w:cstheme="minorBidi"/>
          <w:b/>
          <w:bCs/>
          <w:color w:val="auto"/>
          <w:szCs w:val="22"/>
          <w:lang w:val="id-ID"/>
        </w:rPr>
      </w:pPr>
    </w:p>
    <w:p w14:paraId="5843820A">
      <w:pPr>
        <w:rPr>
          <w:rFonts w:ascii="Times New Roman" w:hAnsi="Times New Roman" w:eastAsia="Times New Roman"/>
          <w:b/>
          <w:bCs/>
          <w:sz w:val="24"/>
        </w:rPr>
      </w:pPr>
      <w:r>
        <w:rPr>
          <w:b/>
          <w:bCs/>
        </w:rPr>
        <w:br w:type="page"/>
      </w:r>
    </w:p>
    <w:p w14:paraId="0FCF61DD">
      <w:pPr>
        <w:pStyle w:val="16"/>
        <w:jc w:val="center"/>
        <w:rPr>
          <w:b/>
        </w:rPr>
      </w:pPr>
      <w:r>
        <w:rPr>
          <w:b/>
        </w:rPr>
        <w:t xml:space="preserve">Kekuatan Dukungan Lingkungan Sosial dan Aksesbilitas Off Farm sebagai  Penentu Kesediaan Petani Muda Bertahan di Pertanian </w:t>
      </w:r>
    </w:p>
    <w:p w14:paraId="338D5930">
      <w:pPr>
        <w:pStyle w:val="16"/>
        <w:jc w:val="center"/>
        <w:rPr>
          <w:b/>
          <w:bCs/>
        </w:rPr>
      </w:pPr>
    </w:p>
    <w:p w14:paraId="247DEED1">
      <w:pPr>
        <w:pStyle w:val="16"/>
        <w:jc w:val="center"/>
        <w:rPr>
          <w:bCs/>
          <w:i/>
        </w:rPr>
      </w:pPr>
      <w:r>
        <w:rPr>
          <w:b/>
          <w:i/>
        </w:rPr>
        <w:t xml:space="preserve">Strength of Social Environmental Support and Off-Farm Accessibility as Determinants of Young Farmers' Willingness to Persist in Agriculture </w:t>
      </w:r>
    </w:p>
    <w:p w14:paraId="0E3F7D0E">
      <w:pPr>
        <w:pStyle w:val="16"/>
        <w:jc w:val="center"/>
        <w:rPr>
          <w:b/>
          <w:bCs/>
        </w:rPr>
      </w:pPr>
    </w:p>
    <w:p w14:paraId="64860E6C">
      <w:pPr>
        <w:spacing w:after="0" w:line="240" w:lineRule="auto"/>
        <w:jc w:val="center"/>
        <w:rPr>
          <w:rFonts w:ascii="Times New Roman" w:hAnsi="Times New Roman" w:eastAsia="Times New Roman" w:cs="Times New Roman"/>
          <w:b/>
          <w:bCs/>
          <w:color w:val="000000"/>
          <w:sz w:val="24"/>
          <w:szCs w:val="24"/>
          <w:vertAlign w:val="superscript"/>
          <w:lang w:val="id-ID"/>
        </w:rPr>
      </w:pPr>
      <w:r>
        <w:rPr>
          <w:rFonts w:ascii="Times New Roman" w:hAnsi="Times New Roman" w:eastAsia="Times New Roman" w:cs="Times New Roman"/>
          <w:b/>
          <w:bCs/>
          <w:color w:val="000000"/>
          <w:sz w:val="24"/>
          <w:szCs w:val="24"/>
          <w:lang w:val="id-ID"/>
        </w:rPr>
        <w:t>Wanti Fitrianti</w:t>
      </w:r>
      <w:r>
        <w:rPr>
          <w:rFonts w:ascii="Times New Roman" w:hAnsi="Times New Roman" w:eastAsia="Times New Roman" w:cs="Times New Roman"/>
          <w:b/>
          <w:bCs/>
          <w:color w:val="000000"/>
          <w:sz w:val="24"/>
          <w:szCs w:val="24"/>
          <w:vertAlign w:val="superscript"/>
          <w:lang w:val="id-ID"/>
        </w:rPr>
        <w:t>1</w:t>
      </w:r>
      <w:r>
        <w:rPr>
          <w:rFonts w:ascii="Times New Roman" w:hAnsi="Times New Roman" w:eastAsia="Times New Roman" w:cs="Times New Roman"/>
          <w:b/>
          <w:bCs/>
          <w:color w:val="000000"/>
          <w:sz w:val="24"/>
          <w:szCs w:val="24"/>
          <w:lang w:val="id-ID"/>
        </w:rPr>
        <w:t>, Jajat Sudrajat</w:t>
      </w:r>
      <w:r>
        <w:rPr>
          <w:rFonts w:ascii="Times New Roman" w:hAnsi="Times New Roman" w:eastAsia="Times New Roman" w:cs="Times New Roman"/>
          <w:b/>
          <w:bCs/>
          <w:color w:val="000000"/>
          <w:sz w:val="24"/>
          <w:szCs w:val="24"/>
          <w:vertAlign w:val="superscript"/>
          <w:lang w:val="id-ID"/>
        </w:rPr>
        <w:t>2</w:t>
      </w:r>
      <w:r>
        <w:rPr>
          <w:rFonts w:ascii="Times New Roman" w:hAnsi="Times New Roman" w:eastAsia="Times New Roman" w:cs="Times New Roman"/>
          <w:b/>
          <w:bCs/>
          <w:color w:val="000000"/>
          <w:sz w:val="24"/>
          <w:szCs w:val="24"/>
          <w:lang w:val="id-ID"/>
        </w:rPr>
        <w:t xml:space="preserve">, Adi Suyatno </w:t>
      </w:r>
      <w:r>
        <w:rPr>
          <w:rFonts w:ascii="Times New Roman" w:hAnsi="Times New Roman" w:eastAsia="Times New Roman" w:cs="Times New Roman"/>
          <w:b/>
          <w:bCs/>
          <w:color w:val="000000"/>
          <w:sz w:val="24"/>
          <w:szCs w:val="24"/>
          <w:vertAlign w:val="superscript"/>
          <w:lang w:val="id-ID"/>
        </w:rPr>
        <w:t>3</w:t>
      </w:r>
    </w:p>
    <w:p w14:paraId="72AD9556">
      <w:pPr>
        <w:spacing w:after="0" w:line="240" w:lineRule="auto"/>
        <w:rPr>
          <w:rFonts w:ascii="Times New Roman" w:hAnsi="Times New Roman" w:eastAsia="Times New Roman" w:cs="Times New Roman"/>
          <w:sz w:val="24"/>
          <w:szCs w:val="24"/>
          <w:lang w:val="en-GB"/>
        </w:rPr>
      </w:pPr>
    </w:p>
    <w:p w14:paraId="08470114">
      <w:pPr>
        <w:pStyle w:val="16"/>
        <w:jc w:val="center"/>
        <w:rPr>
          <w:bCs/>
          <w:sz w:val="22"/>
          <w:szCs w:val="22"/>
          <w:lang w:val="id-ID"/>
        </w:rPr>
      </w:pPr>
    </w:p>
    <w:p w14:paraId="1DA6C14A">
      <w:pPr>
        <w:pStyle w:val="16"/>
        <w:jc w:val="center"/>
        <w:rPr>
          <w:sz w:val="22"/>
          <w:szCs w:val="22"/>
          <w:vertAlign w:val="superscript"/>
          <w:lang w:val="id-ID"/>
        </w:rPr>
      </w:pPr>
      <w:r>
        <w:rPr>
          <w:sz w:val="22"/>
          <w:szCs w:val="22"/>
          <w:vertAlign w:val="superscript"/>
        </w:rPr>
        <w:t>1</w:t>
      </w:r>
      <w:r>
        <w:rPr>
          <w:sz w:val="22"/>
          <w:szCs w:val="22"/>
          <w:lang w:val="id-ID"/>
        </w:rPr>
        <w:t>Department of Agricultural Socio Economics, Faculty of Agriculture Universitas Tanjungpura.</w:t>
      </w:r>
    </w:p>
    <w:p w14:paraId="45221C7C">
      <w:pPr>
        <w:pStyle w:val="16"/>
        <w:jc w:val="center"/>
        <w:rPr>
          <w:sz w:val="22"/>
          <w:szCs w:val="22"/>
        </w:rPr>
      </w:pPr>
      <w:r>
        <w:rPr>
          <w:sz w:val="22"/>
          <w:szCs w:val="22"/>
          <w:lang w:val="id-ID"/>
        </w:rPr>
        <w:t xml:space="preserve"> ST. Prof. Dr, Hadari Nawawi, Pontianak.</w:t>
      </w:r>
    </w:p>
    <w:p w14:paraId="48AB92A5">
      <w:pPr>
        <w:pStyle w:val="16"/>
        <w:jc w:val="center"/>
        <w:rPr>
          <w:bCs/>
          <w:color w:val="auto"/>
          <w:sz w:val="22"/>
          <w:szCs w:val="22"/>
          <w:lang w:val="id-ID"/>
        </w:rPr>
      </w:pPr>
      <w:r>
        <w:rPr>
          <w:bCs/>
          <w:color w:val="auto"/>
          <w:sz w:val="22"/>
          <w:szCs w:val="22"/>
        </w:rPr>
        <w:t>*Email</w:t>
      </w:r>
      <w:r>
        <w:rPr>
          <w:bCs/>
          <w:color w:val="auto"/>
          <w:sz w:val="22"/>
          <w:szCs w:val="22"/>
          <w:lang w:val="id-ID"/>
        </w:rPr>
        <w:t xml:space="preserve"> corresponding</w:t>
      </w:r>
      <w:r>
        <w:rPr>
          <w:bCs/>
          <w:color w:val="auto"/>
          <w:sz w:val="22"/>
          <w:szCs w:val="22"/>
        </w:rPr>
        <w:t>:</w:t>
      </w:r>
      <w:r>
        <w:rPr>
          <w:bCs/>
          <w:color w:val="auto"/>
          <w:sz w:val="22"/>
          <w:szCs w:val="22"/>
          <w:lang w:val="id-ID"/>
        </w:rPr>
        <w:t xml:space="preserve"> </w:t>
      </w:r>
      <w:r>
        <w:rPr>
          <w:sz w:val="22"/>
          <w:szCs w:val="22"/>
        </w:rPr>
        <w:t>wanti.fitrianti@faperta.untan.ac.id</w:t>
      </w:r>
    </w:p>
    <w:p w14:paraId="7925965C">
      <w:pPr>
        <w:pStyle w:val="16"/>
        <w:jc w:val="center"/>
        <w:rPr>
          <w:bCs/>
          <w:sz w:val="22"/>
          <w:szCs w:val="22"/>
          <w:lang w:val="id-ID"/>
        </w:rPr>
      </w:pPr>
    </w:p>
    <w:p w14:paraId="32064022">
      <w:pPr>
        <w:pStyle w:val="16"/>
        <w:spacing w:after="80" w:line="240" w:lineRule="exact"/>
        <w:jc w:val="center"/>
        <w:rPr>
          <w:sz w:val="20"/>
          <w:szCs w:val="20"/>
        </w:rPr>
      </w:pPr>
      <w:r>
        <w:rPr>
          <w:b/>
          <w:bCs/>
          <w:sz w:val="20"/>
          <w:szCs w:val="20"/>
        </w:rPr>
        <w:t xml:space="preserve">ABSTRAK </w:t>
      </w:r>
    </w:p>
    <w:p w14:paraId="34D723CE">
      <w:pPr>
        <w:pStyle w:val="16"/>
        <w:spacing w:after="80"/>
        <w:jc w:val="both"/>
        <w:rPr>
          <w:sz w:val="20"/>
          <w:szCs w:val="20"/>
        </w:rPr>
      </w:pPr>
      <w:r>
        <w:rPr>
          <w:sz w:val="20"/>
          <w:szCs w:val="20"/>
        </w:rPr>
        <w:t xml:space="preserve">Lemahnya regenerasi petani menjadi tekanan yang cukup kuat bagi sektor pertanian Indonesia. Pandangan stereotip negatif terhadap profesi petani menjadi penyebab keengganan generasi muda untuk masuk dan bertahan  di pertanian. Namun, ada potensi kuatnya dukungan lingkungan dan akses lahan serta akses terhadap pekerjaan off farm menjadi faktor yang dapat mendorong petani muda bertahan di pertanian.  Tujuan penelitian ini secara khusus menganalisis faktor penentu kesediaan petani muda bertahan di sektor pertanian khususnya pada lokasi pinggiran kota Pontianak Kalimantan Barat. Hal ini dilakukan dengan pertimbangan dekatnya lokasi dengan pusat kota memiliki karakteritik demografis yang spesifik dimana pilihan profesi dan memutuskan untuk bertahan menjadi petani menghadapi banyak tantangan. Penelitian ini menggunakan pendekatan kuantitatif dengan jumlah sampel 47 orang dan dianalisis menggunakan regresi logistik. Hasil penelitian menunjukkan besarnya pengaruh dukungan lingkungan sosial yang berasal dari keluarga dan tempat tinggal terhadap kesediaan petani muda bertahan di pertanian. Dukungan lingkungan sosial akan menghilangkan stereotip negatif profesi petani sehingga dapat meningkatkan kepercayaan dan keyakinan pada diri petani muda bahwa menjadi petani akan memberikan kebanggaan dan jaminan masa depan. Hasil penelitian ini juga membuktikan semakin meningkatnya tingkat pendidikan, pengalaman usahatani, dan  akses pekerjaan </w:t>
      </w:r>
      <w:r>
        <w:rPr>
          <w:i/>
          <w:iCs/>
          <w:sz w:val="20"/>
          <w:szCs w:val="20"/>
        </w:rPr>
        <w:t>off farm</w:t>
      </w:r>
      <w:r>
        <w:rPr>
          <w:sz w:val="20"/>
          <w:szCs w:val="20"/>
        </w:rPr>
        <w:t xml:space="preserve"> akan meningkatkan probabilitas kesediaan petani muda bertahan di sektor pertanian</w:t>
      </w:r>
    </w:p>
    <w:p w14:paraId="3C856C4E">
      <w:pPr>
        <w:spacing w:after="80" w:line="240" w:lineRule="exact"/>
        <w:rPr>
          <w:rFonts w:ascii="Times New Roman" w:hAnsi="Times New Roman"/>
          <w:iCs/>
          <w:sz w:val="20"/>
          <w:szCs w:val="20"/>
        </w:rPr>
      </w:pPr>
      <w:r>
        <w:rPr>
          <w:rFonts w:ascii="Times New Roman" w:hAnsi="Times New Roman"/>
          <w:bCs/>
          <w:iCs/>
          <w:sz w:val="20"/>
          <w:szCs w:val="20"/>
        </w:rPr>
        <w:t>Kata kunci: Dukungan lingkungan sosial, off farm, regenerasi petani, kesediaan bertahan di pertanian, petani muda</w:t>
      </w:r>
    </w:p>
    <w:p w14:paraId="6598B756">
      <w:pPr>
        <w:spacing w:after="80" w:line="240" w:lineRule="exact"/>
        <w:rPr>
          <w:rFonts w:ascii="Times New Roman" w:hAnsi="Times New Roman"/>
          <w:iCs/>
          <w:sz w:val="20"/>
          <w:szCs w:val="20"/>
        </w:rPr>
      </w:pPr>
    </w:p>
    <w:p w14:paraId="2EBE57A1">
      <w:pPr>
        <w:pStyle w:val="16"/>
        <w:spacing w:after="80" w:line="240" w:lineRule="exact"/>
        <w:jc w:val="center"/>
        <w:rPr>
          <w:sz w:val="20"/>
          <w:szCs w:val="20"/>
        </w:rPr>
      </w:pPr>
      <w:r>
        <w:rPr>
          <w:b/>
          <w:bCs/>
          <w:i/>
          <w:sz w:val="20"/>
          <w:szCs w:val="20"/>
        </w:rPr>
        <w:t>ABSTRACT</w:t>
      </w:r>
      <w:r>
        <w:rPr>
          <w:b/>
          <w:bCs/>
          <w:sz w:val="20"/>
          <w:szCs w:val="20"/>
        </w:rPr>
        <w:t xml:space="preserve"> </w:t>
      </w:r>
    </w:p>
    <w:p w14:paraId="20423088">
      <w:pPr>
        <w:pStyle w:val="16"/>
        <w:spacing w:after="80"/>
        <w:jc w:val="both"/>
        <w:rPr>
          <w:i/>
          <w:sz w:val="20"/>
          <w:szCs w:val="20"/>
        </w:rPr>
      </w:pPr>
      <w:bookmarkStart w:id="4" w:name="_GoBack"/>
      <w:r>
        <w:rPr>
          <w:i/>
          <w:sz w:val="20"/>
          <w:szCs w:val="20"/>
        </w:rPr>
        <w:t>The poor regeneration of farmers is a significant strain on the Indonesian agricultural sector. The negative stereotypical view of the farming profession is the cause of the reluctance of the younger generation to get involved and persist in agriculture. However, there is a strong potential for environmental support and land access as well as access to off-farm work to be factors that can encourage young farmers to remain in agriculture. The purpose of this study is to analyze the determinants of the willingness of young farmers to continue in the agricultural sector, specifically on the outskirts of Pontianak, West Kalimantan. This is accomplished by taking into account the proximity of the area to the city center, as well as certain demographic factors, in which the choice of occupation and decision to remain a farmer presents numerous obstacles. This study took a quantitative approach, with a sample size of 47 persons, and was analyzed using logistic regression. The findings of the study indicate that social environmental support from family and residents has a significant impact on young farmers' willingness to continue in agriculture. Social environmental support will help to eradicate negative stereotypes about farming, increasing young farmers' trust and confidence that becoming a farmer will give them pride and a secure future.  The results of this study also demonstrate that growing levels of education, farming experience, and off-farm job access improve the likelihood of young farmers' willingness to continue in the agricultural sector</w:t>
      </w:r>
      <w:bookmarkEnd w:id="4"/>
      <w:r>
        <w:rPr>
          <w:i/>
          <w:sz w:val="20"/>
          <w:szCs w:val="20"/>
        </w:rPr>
        <w:t>.</w:t>
      </w:r>
    </w:p>
    <w:p w14:paraId="573478DA">
      <w:pPr>
        <w:pStyle w:val="16"/>
        <w:spacing w:after="80" w:line="240" w:lineRule="exact"/>
        <w:ind w:left="993" w:hanging="993"/>
        <w:jc w:val="both"/>
        <w:rPr>
          <w:i/>
          <w:sz w:val="20"/>
          <w:szCs w:val="20"/>
        </w:rPr>
      </w:pPr>
      <w:r>
        <w:rPr>
          <w:i/>
          <w:sz w:val="20"/>
          <w:szCs w:val="20"/>
        </w:rPr>
        <w:t>Keywords: Social environmental support,  farmer regeneration, off-farm willingness to persist in agriculture, young farmer</w:t>
      </w:r>
    </w:p>
    <w:p w14:paraId="7D83A15F">
      <w:pPr>
        <w:spacing w:after="80" w:line="240" w:lineRule="exact"/>
        <w:jc w:val="both"/>
        <w:rPr>
          <w:rFonts w:ascii="Times New Roman" w:hAnsi="Times New Roman"/>
          <w:iCs/>
          <w:sz w:val="24"/>
          <w:lang w:val="id-ID"/>
        </w:rPr>
      </w:pPr>
    </w:p>
    <w:p w14:paraId="1D1DD4A5">
      <w:pPr>
        <w:spacing w:after="80" w:line="240" w:lineRule="exact"/>
        <w:jc w:val="both"/>
        <w:rPr>
          <w:rFonts w:ascii="Times New Roman" w:hAnsi="Times New Roman"/>
          <w:iCs/>
          <w:sz w:val="24"/>
          <w:lang w:val="id-ID"/>
        </w:rPr>
      </w:pPr>
    </w:p>
    <w:p w14:paraId="0AA20947">
      <w:pPr>
        <w:pStyle w:val="16"/>
        <w:spacing w:after="80" w:line="240" w:lineRule="exact"/>
        <w:jc w:val="center"/>
        <w:rPr>
          <w:b/>
          <w:bCs/>
          <w:sz w:val="22"/>
          <w:szCs w:val="22"/>
        </w:rPr>
      </w:pPr>
    </w:p>
    <w:p w14:paraId="5817540E">
      <w:pPr>
        <w:pStyle w:val="16"/>
        <w:spacing w:after="80" w:line="240" w:lineRule="exact"/>
        <w:jc w:val="center"/>
        <w:rPr>
          <w:sz w:val="22"/>
          <w:szCs w:val="22"/>
        </w:rPr>
      </w:pPr>
      <w:r>
        <w:rPr>
          <w:b/>
          <w:bCs/>
          <w:sz w:val="22"/>
          <w:szCs w:val="22"/>
        </w:rPr>
        <w:t>INTRODUCTION</w:t>
      </w:r>
    </w:p>
    <w:p w14:paraId="1CFB6164">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farmer regeneration crisis is now affecting both developed and developing countries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{"citationItems":[{"id":"ITEM-1","itemData":{"DOI":"10.1016/j.landusepol.2018.12.019","ISSN":"02648377","abstract":"The number of young farmers has decreased over recent decades in several developed countries such as the United States and European countries. A recent strategy adopted by the European Union to address the resulting age imbalance is the Young Farmer Payment which provides an additional payment on top of the average basic payment introduced in the last Common Agricultural Policy reform. The objective of this study is to determine, by means of a behavioural approach, how this payment influenced the incentives of young farmers to stay in the farm. Using the endogenous succession cycle model and the structural modelling technique, we found that the payment affected young farmers’ willingness to stay through its influence on non-economic motivational goals. However, we also found that there are other factors that can be even more influential, such as pessimism about farming, community and family integration, participation in decision making, and the opinion of neighbours, among others. Based on the results, we argue that similar policies could be adopted in other countries, although policies would be more effective in addressing age imbalances if they are accompanied with complementary strategies aimed to deal with the identified social and psychological considerations.","author":[{"dropping-particle":"","family":"May","given":"Daniel","non-dropping-particle":"","parse-names":false,"suffix":""},{"dropping-particle":"","family":"Arancibia","given":"Sara","non-dropping-particle":"","parse-names":false,"suffix":""},{"dropping-particle":"","family":"Behrendt","given":"Karl","non-dropping-particle":"","parse-names":false,"suffix":""},{"dropping-particle":"","family":"Adams","given":"John","non-dropping-particle":"","parse-names":false,"suffix":""}],"container-title":"Land Use Policy","id":"ITEM-1","issue":"December 2018","issued":{"date-parts":[["2019"]]},"page":"317-327","publisher":"Elsevier","title":"Preventing young farmers from leaving the farm: Investigating the effectiveness of the young farmer payment using a behavioural approach","type":"article-journal","volume":"82"},"uris":["http://www.mendeley.com/documents/?uuid=76aa93c5-f7de-46a3-9ebc-70ad7c68fa51"]},{"id":"ITEM-2","itemData":{"DOI":"10.7160/aol.2023.150204","ISSN":"18041930","abstract":"Young farmers have an important role as the future of food security and sustainable agriculture depends on them. However, the young farmer problem is getting serious all over the world, whether the countries are developed or developing. The objective of this study is to determine the factors that affect the willingness of young farmers to continue agriculture in the future, especially based on social and cultural factors with economic factors. Data were collected from 200 young farmers' questionnaires in İzmir, Turkey, and Niigata, Japan. Using the logistic regression model, we found that social factors play an important role in retaining young farmers in agriculture such as the respectability and importance of farming, and the multifunctional role of farming, along with economic factors such as off-farm job, farmland size, and subsidies. If countries can clarify the importance of farming and food production to young generations, they will make essential contributions to the sustainability of food security and agricultural sustainability.","author":[{"dropping-particle":"","family":"Karahan","given":"Mizgin","non-dropping-particle":"","parse-names":false,"suffix":""},{"dropping-particle":"","family":"Abay","given":"Canan","non-dropping-particle":"","parse-names":false,"suffix":""},{"dropping-particle":"","family":"Ito","given":"Ryoji","non-dropping-particle":"","parse-names":false,"suffix":""}],"container-title":"Agris On-line Papers in Economics and Informatics","id":"ITEM-2","issue":"2","issued":{"date-parts":[["2023"]]},"page":"41-54","title":"Determining Factors of Retaining Young Farmers in Agriculture: A Case study in Turkey and Japan","type":"article","volume":"15"},"uris":["http://www.mendeley.com/documents/?uuid=34bb7a5c-9ff5-4803-950d-0319296799a1"]},{"id":"ITEM-3","itemData":{"DOI":"10.22161/ijeab/3.5.45","abstract":"Indonesian agriculture has a serious problem with the decline in interest of the younger generation towards businesses in agriculture, especially food crops. This is shown in a period of 10 years there has been a decline of nearly 15% of farmer households engaged in agriculture (BPS Data 2013), but on the other hand the need for food continues to increase along with the increase in the population of Indonesia. Indonesian agriculture also faces the problem of decreasing the quality of agroecosystems, foreign product competition, productivity and land conversion. Paddy rice cultivation is becoming increasingly less attractive to the younger generation, especially for several years, due to a decline in income levels. The purpose of this study was to understand the factors that influence the interest of young people in rice farming. This research was conducted in Deli Serdang District. Determination of the research location is based on the potential area of rice cultivation. Research methods using linear regression survey and analysis methods. The results of this study indicate that internal and external factors (age, gender, education, marital status, expectations, wide land ownership, socialization and technology) have a significant influence on the interest of the younger generation.","author":[{"dropping-particle":"","family":"Haharap","given":"Nurliana","non-dropping-particle":"","parse-names":false,"suffix":""},{"dropping-particle":"","family":"Siregar","given":"Ameilia Zuliyanti","non-dropping-particle":"","parse-names":false,"suffix":""}],"container-title":"International Journal of Environment, Agriculture and Biotechnology","id":"ITEM-3","issue":"5","issued":{"date-parts":[["2018"]]},"page":"1922-1928","title":"Factors Affecting Youth Generation Interest on Agricultural Fields (Case Study in Deli Serdang District)","type":"article-journal","volume":"3"},"uris":["http://www.mendeley.com/documents/?uuid=c1790444-7d43-4d01-8e0f-1efb6c724d20"]},{"id":"ITEM-4","itemData":{"author":[{"dropping-particle":"","family":"Priani","given":"Gisca Wahyu","non-dropping-particle":"","parse-names":false,"suffix":""},{"dropping-particle":"","family":"Rozaki","given":"Zuhud","non-dropping-particle":"","parse-names":false,"suffix":""},{"dropping-particle":"","family":"Wulandari","given":"Retno","non-dropping-particle":"","parse-names":false,"suffix":""},{"dropping-particle":"","family":"Azzahra","given":"Isni","non-dropping-particle":"","parse-names":false,"suffix":""},{"dropping-particle":"","family":"Yogyakarta","given":"Universitas Muhammadiyah","non-dropping-particle":"","parse-names":false,"suffix":""}],"container-title":"Proceedings Universitas Muhammadiyah Yogyakarta Undergraduate Conference","id":"ITEM-4","issued":{"date-parts":[["2023"]]},"page":"256-260","title":"Challenges and Opportunities for the Young Generation in Sustainable Agricultural Development","type":"article-journal","volume":"2023"},"uris":["http://www.mendeley.com/documents/?uuid=d4c55eb5-7db3-4fe8-b2dc-19fde25bb5a7"]}],"mendeley":{"formattedCitation":"(Haharap &amp; Siregar, 2018; Karahan et al., 2023; May et al., 2019; Priani et al., 2023)","plainTextFormattedCitation":"(Haharap &amp; Siregar, 2018; Karahan et al., 2023; May et al., 2019; Priani et al., 2023)","previouslyFormattedCitation":"[1]–[4]"},"properties":{"noteIndex":0},"schema":"https://github.com/citation-style-language/schema/raw/master/csl-citation.json"}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(Haharap &amp; Siregar, 2018; Karahan et al., 2023; May et al., 2019; Priani et al.,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In the context of Indonesia, the crisis of agricultural workforce regeneration in villages is visible in the decline in the number of agricultural workers in the youth age group aged 15-29 years, with an average annual reduction of 3.41%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{"citationItems":[{"id":"ITEM-1","itemData":{"DOI":"10.31292/jb.v2i2.72","ISSN":"2442-6954","abstract":"Abstract : Nowadays, regeneration crisis of manpower for farming has become an alert for many countries, both poor and developing countries. In Indonesia, this crisis is seen in the decreasing number of agriculture labour, especially for the youth age. Cikarawang is one of many villages which experienced crises of youth employments in farming sector. This research was aimed to explore possible aspects for the youth to allow them remain working in farming sector. Bonding and pushing factors for the youth to remain working in farming sector are the main aspects that were focused in this research. This research used the concept of “gerontocracy and land access for the youth” by Ben White. This research was conducted using mixed method, by integrating quantitative and qualitative approaches. Qualitative approach was performed by observation and an in-depth interview. Quantitative approach was conducted by implementing survey of 40 youths in Cikarawang Village as respondents, with the age of 16 – 35 as the samples. Qualitative data were analysed using Nvivo, while quantitative data were analysed using cross tabulation technique. The results show that land possession, farming skill and marital status were the main factors for the youth to remain working in farming sector. Whilst, factors that eliminates the youth to leave agricultural sector were education and the capabilities of non-farming skills. Keywords : Youth, Farming, Land Possession, Gerontocracy, Regeneration, laborIntisari : Krisis regenerasi tenaga pertanian menjadi persoalan di banyak negara saat ini, baik negara-negara miskin maupun negara berkembang. Dalam konteks Indonesia, krisis regenerasi tenaga pertanian di desa secara nyata terlihat dari penurunan jumlah tenaga kerja di sektor pertanian yang terjadi pada kelompok umur pemuda. Cikarawang merupakan salah satu desa yang mengalami krisis tenaga muda di sektor pertanian. Penelitian ini diarahkan untuk menggali aspek yang memungkinkan pemuda untuk tetap tinggal dan terjun di sektor pertanian. Aspek-aspek ini secara khusus difokuskan pada faktor pengikat dan pendorong bagi pemuda untuk bertahan di sektor pertanian. Perspektif teori yang digunakan dalam tulisan ini adalah konsep gerontokrasi dan akses lahan untuk pemuda dari Ben White. Penelitian dilakukan dengan menggunakan metode campuran yaitu dengan mengintegrasikan pendekatan kualitatif dan kuantitatif. Pendekatan kualitatif dilakukan dengan menggunakan observasi dan metode wawancara mendala…","author":[{"dropping-particle":"","family":"Pujiriyani","given":"Dwi Wulan","non-dropping-particle":"","parse-names":false,"suffix":""},{"dropping-particle":"","family":"Suharyono","given":"Sri","non-dropping-particle":"","parse-names":false,"suffix":""},{"dropping-particle":"","family":"Hayat","given":"Ibnul","non-dropping-particle":"","parse-names":false,"suffix":""},{"dropping-particle":"","family":"Azzahra","given":"Fatimah","non-dropping-particle":"","parse-names":false,"suffix":""}],"container-title":"BHUMI: Jurnal Agraria dan Pertanahan","id":"ITEM-1","issue":"2","issued":{"date-parts":[["2016"]]},"page":"209","title":"Sampai Kapan Pemuda Bertahan di Pedesaan? Kepemilikan Lahan dan Pilihan Pemuda Untuk Menjadi Petani","type":"article-journal","volume":"2"},"uris":["http://www.mendeley.com/documents/?uuid=19c99e76-9b74-4513-be00-f4fe3207252b"]}],"mendeley":{"formattedCitation":"(Pujiriyani et al., 2016)","plainTextFormattedCitation":"(Pujiriyani et al., 2016)","previouslyFormattedCitation":"[5]"},"properties":{"noteIndex":0},"schema":"https://github.com/citation-style-language/schema/raw/master/csl-citation.json"}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(Pujiriyani et al., 2016)</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Even the 2023 agricultural census revealed that there were only 6.183 million young farmers in Indonesia, accounting for around 21.93% of the total number of farmers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{"citationItems":[{"id":"ITEM-1","itemData":{"author":[{"dropping-particle":"","family":"Badan Pusat Statistik","given":"","non-dropping-particle":"","parse-names":false,"suffix":""}],"container-title":"Badan Pusat Statistik","id":"ITEM-1","issued":{"date-parts":[["2023"]]},"title":"Hasil Pencacahan Lengkap Sensus Pertanian 2023 - Tahap I - Badan Pusat Statistik Indonesia","type":"article"},"uris":["http://www.mendeley.com/documents/?uuid=18529a30-3915-4d79-ae21-18daad931bd5"]}],"mendeley":{"formattedCitation":"(Badan Pusat Statistik, 2023)","plainTextFormattedCitation":"(Badan Pusat Statistik, 2023)","previouslyFormattedCitation":"[6]"},"properties":{"noteIndex":0},"schema":"https://github.com/citation-style-language/schema/raw/master/csl-citation.json"}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(Badan Pusat Statistik,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p>
    <w:p w14:paraId="72D3F186">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decline in the number of young farmers will have an impact on the agricultural sector's sustainability, particularly productivity, farmer income, market competitiveness, rural economic capacity, and future food security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{"citationItems":[{"id":"ITEM-1","itemData":{"DOI":"10.33366/jkn.v4i2.96","abstract":"The agricultural sector is a vital sector for the survival of Indonesia. However, one of the problems faced is the regeneration of farmers because not all young people want to participate in this sector. One of the communities that responded to this condition is Aku Petani Indonesia. This community carries out various activities to create intention to participate in agriculture activities among the younger generation. This research is to study how these activities create word-of-mouth that can intention. The Theory of Planned Behavior is included as a theoretical framework. This research design is concurrent triangulation, which combines quantitative and qualitative data to obtain more in-depth results. The study results show that these community activities produced word-of-mouth to create intention among the young generation. The resulting word-of-mouth positively affected their interest in participating in the agricultural sector mediated by the Theory of Planned Behavior variables. The evidence lies in the number of young people who shared their farming activities voluntarily on social media and their involvement in various activities organized by the community.\r Abstrak\r Sektor pertanian merupakan sektor vital bagi kelangsungan hidup Indonesia. Namun salah satu kendala yang dihadapi adalah kaderisasi petani karena tidak semua generasi muda mau berpartisipasi di sektor ini. Salah satu komunitas yang merespons kondisi ini adalah Aku Petani Indonesia. Komunitas ini melakukan berbagai kegiatan untuk menumbuhkan niat untuk berpartisipasi dalam kegiatan pertanian di kalangan generasi muda. Penelitian ini bertujuan untuk mempelajari bagaimana kegiatan tersebut menciptakan word-of-mouth yang dapat menimbulkan niat. Theory of Planned Behavior pada penelitian digunakan sebagai kerangka teoritis. Desain penelitian ini adalah triangulasi konkuren, yaitu menggabungkan data kuantitatif dan kualitatif untuk mendapatkan hasil yang lebih mendalam. Hasil penelitian menunjukkan bahwa kegiatan komunitas ini menghasilkan word-of-mouth yang mampu membentuk intensi di kalangan generasi muda. Word-of-mouth yang dihasilkan berpengaruh positif terhadap intensi untuk berpartisipasi di sektor pertanian yang dimediasi oleh variabel Theory of Planned Behavior. Hal ini dibuktikan dengan banyaknya anak muda yang membagikan kegiatan bertani secara sukarela di media sosial dan keterlibatan mereka dalam berbagai kegiatan yang diselenggarakan oleh masyarakat.","author":[{"dropping-particle":"","family":"Octaviana","given":"Dias Anugrah","non-dropping-particle":"","parse-names":false,"suffix":""},{"dropping-particle":"","family":"Astini","given":"Ni Made","non-dropping-particle":"","parse-names":false,"suffix":""},{"dropping-particle":"","family":"Susanto","given":"Bagus Aditya","non-dropping-particle":"","parse-names":false,"suffix":""}],"container-title":"Jurnal Komunikasi Nusantara","id":"ITEM-1","issue":"2","issued":{"date-parts":[["2022"]]},"page":"163-176","title":"Word-Of-Mouth Sebagai Sarana Pembentukan Intensi Generasi Muda dalam Berpartisipasi Pada Sektor Pertanian","type":"article-journal","volume":"4"},"uris":["http://www.mendeley.com/documents/?uuid=404a118e-2187-4e7b-b4c2-6d8d80ca3489"]},{"id":"ITEM-2","itemData":{"DOI":"10.21082/fae.v34n1.2016.35-55","ISSN":"0216-4361","abstract":"&lt;strong&gt;English&lt;/strong&gt;&lt;br /&gt;Qualified human resources with a good commitment to develop agricultural sector is one of the determining factors toward sustainable agricultural development. However, agricultural development deals with significant issue especially reduction in the number of young farmers. This paper aims to review structural changes from perspective of aging farmer and declined number of young farmers in Indonesia and other countries. Specifically, this paper identifies various factors causing the changes and describes the policies needed to support young workers to enter agricultural sector. The method used in this paper is both descriptive analysis and cross tabulation. The results show that aging farmers and young farmers decline in Indonesia keep increasing. The phenomena are also found in other countries in Asia, Europe, America and Australia. Various factors causing lack interest of young workers in agricultural sector, namely less prestigious, high risk, less assurance, unstable earning. Other factors are small size land holding, limited non-agricultural diversification and agricultural processing activities in rural areas, slow farm management succession, and lack of incentive for young farmers. To attract youth to enter agricultural sector, it is necessary to transform youth’s perception that agricultural sector currently is interesting and promising. The government needs to development agricultural industry in rural areas, introduces technology innovation, offers special incentives for young farmers, modernizes agriculture, and conducts training and empowerment of young farmers.&lt;br /&gt;&lt;br /&gt;&lt;br /&gt;&lt;strong&gt;Indonesian&lt;/strong&gt;&lt;br /&gt;Sumber daya manusia yang berkualitas dan memiliki komitmen membangun sektor pertanian merupakan salah satu faktor keberhasilan pembangunan pertanian berkelanjutan. Namun, pembangunan pertanian menghadapi permasalahan cukup serius, yaitu jumlah petani muda terus mengalami penurunan, baik secara absolut maupun relatif, sementara petani usia tua semakin meningkat. Tujuan makalah ini adalah melakukan review tentang perubahan struktural tenaga kerja pertanian dilihat dari fenomena aging farmer dan menurunnya jumlah tenaga kerja usia muda sektor pertanian di Indonesia dan di berbagai negara lainnya, mengidentifikasi berbagai faktor penyebab perubahan tersebut, serta kebijakan yang diperlukan untuk mendukung tenaga kerja muda masuk ke  sektor pertanian. Metode penelitian yang digunakan adalah analisis deskriptif…","author":[{"dropping-particle":"","family":"Susilowati","given":"Sri Hery","non-dropping-particle":"","parse-names":false,"suffix":""}],"container-title":"Forum penelitian Agro Ekonomi","id":"ITEM-2","issue":"1","issued":{"date-parts":[["2016"]]},"page":"35","title":"Fenomena Penuaan Petani dan Berkurangnya Tenaga Kerja Muda serta Implikasinya bagi Kebijakan Pembangunan Pertanian","type":"article-journal","volume":"34"},"uris":["http://www.mendeley.com/documents/?uuid=b0dd9b0f-9487-48f8-ac59-064c3f350658"]},{"id":"ITEM-3","itemData":{"author":[{"dropping-particle":"","family":"Priani","given":"Gisca Wahyu","non-dropping-particle":"","parse-names":false,"suffix":""},{"dropping-particle":"","family":"Rozaki","given":"Zuhud","non-dropping-particle":"","parse-names":false,"suffix":""},{"dropping-particle":"","family":"Wulandari","given":"Retno","non-dropping-particle":"","parse-names":false,"suffix":""},{"dropping-particle":"","family":"Azzahra","given":"Isni","non-dropping-particle":"","parse-names":false,"suffix":""},{"dropping-particle":"","family":"Yogyakarta","given":"Universitas Muhammadiyah","non-dropping-particle":"","parse-names":false,"suffix":""}],"container-title":"Proceedings Universitas Muhammadiyah Yogyakarta Undergraduate Conference","id":"ITEM-3","issued":{"date-parts":[["2023"]]},"page":"256-260","title":"Challenges and Opportunities for the Young Generation in Sustainable Agricultural Development","type":"article-journal","volume":"2023"},"uris":["http://www.mendeley.com/documents/?uuid=d4c55eb5-7db3-4fe8-b2dc-19fde25bb5a7"]}],"mendeley":{"formattedCitation":"(Octaviana et al., 2022; Priani et al., 2023; Susilowati, 2016)","plainTextFormattedCitation":"(Octaviana et al., 2022; Priani et al., 2023; Susilowati, 2016)","previouslyFormattedCitation":"[4], [7], [8]"},"properties":{"noteIndex":0},"schema":"https://github.com/citation-style-language/schema/raw/master/csl-citation.json"}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(Octaviana et al., 2022; Priani et al., 2023; Susilowati, 2016)</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Indeed, young farmers can revitalize agriculture since they are thought to be receptive to innovation and adaptable to more current inventions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{"citationItems":[{"id":"ITEM-1","itemData":{"ISSN":"2285-3952","abstract":"Generational renewal plays an important role in strengthening resilient agriculture at EU level. The low number of young people working in agriculture is, on the one hand, a major concern both in Romania and at EU level, but also the subject of political stimulus measures.The purpose of this study is to analyze the changes that occur at the level of agricultural structure according to the age group of farm managers in Romania between 2005 and 2016. Thus, the analysis carried out assesses the effects of agricultural policies aimed at generational renewal. Although a number of measures to stimulate the young people's entry into agriculture have been introduced in recent years, there is a significant decrease in this category between 2010 and 2016. The ratio between young farmers and farmers aged 65+ indicates that the agricultural community is aging. In order to highlight the significant potential that young farmers have in supporting the sustainable economy, economic growth and competitiveness, a number of key variables were analyzed in relation to the age group, such as: number of holdings, agricultural area, number of livestock farms, standard production (SO), but also the number of farms with self-consumption. The analysis shows that farms run by young farmers are much more profitable compared to older farmers, but the factors that encourage young people to remain in the agricultural sector as farms leaders it does not seem sufficient to enough maintain it in this sector.","author":[{"dropping-particle":"","family":"Badan","given":"Nicoleta Daniela","non-dropping-particle":"","parse-names":false,"suffix":""},{"dropping-particle":"","family":"Fîntîneru","given":"Gina","non-dropping-particle":"","parse-names":false,"suffix":""}],"container-title":"Scientific Papers Series Management, Economic Engineering in Agriculture and Rural Development","id":"ITEM-1","issue":"2","issued":{"date-parts":[["2022"]]},"page":"73-79","title":"Young Farmers-A Fundamental Factor in The Development of The Agricultural Sector","type":"article-journal","volume":"22"},"uris":["http://www.mendeley.com/documents/?uuid=440efa2b-6e2c-427a-9275-b03683d46970"]},{"id":"ITEM-2","itemData":{"DOI":"10.7160/aol.2023.150204","ISSN":"18041930","abstract":"Young farmers have an important role as the future of food security and sustainable agriculture depends on them. However, the young farmer problem is getting serious all over the world, whether the countries are developed or developing. The objective of this study is to determine the factors that affect the willingness of young farmers to continue agriculture in the future, especially based on social and cultural factors with economic factors. Data were collected from 200 young farmers' questionnaires in İzmir, Turkey, and Niigata, Japan. Using the logistic regression model, we found that social factors play an important role in retaining young farmers in agriculture such as the respectability and importance of farming, and the multifunctional role of farming, along with economic factors such as off-farm job, farmland size, and subsidies. If countries can clarify the importance of farming and food production to young generations, they will make essential contributions to the sustainability of food security and agricultural sustainability.","author":[{"dropping-particle":"","family":"Karahan","given":"Mizgin","non-dropping-particle":"","parse-names":false,"suffix":""},{"dropping-particle":"","family":"Abay","given":"Canan","non-dropping-particle":"","parse-names":false,"suffix":""},{"dropping-particle":"","family":"Ito","given":"Ryoji","non-dropping-particle":"","parse-names":false,"suffix":""}],"container-title":"Agris On-line Papers in Economics and Informatics","id":"ITEM-2","issue":"2","issued":{"date-parts":[["2023"]]},"page":"41-54","title":"Determining Factors of Retaining Young Farmers in Agriculture: A Case study in Turkey and Japan","type":"article","volume":"15"},"uris":["http://www.mendeley.com/documents/?uuid=34bb7a5c-9ff5-4803-950d-0319296799a1"]}],"mendeley":{"formattedCitation":"(Badan &amp; Fîntîneru, 2022; Karahan et al., 2023)","plainTextFormattedCitation":"(Badan &amp; Fîntîneru, 2022; Karahan et al., 2023)","previouslyFormattedCitation":"[2], [9]"},"properties":{"noteIndex":0},"schema":"https://github.com/citation-style-language/schema/raw/master/csl-citation.json"}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(Badan &amp; Fîntîneru, 2022; Karahan et al.,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Thus, farmer regeneration is critical to sustainable agricultural development and must be addressed.</w:t>
      </w:r>
    </w:p>
    <w:p w14:paraId="47E5845C">
      <w:pPr>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Several socioeconomic problems have been recognized as impeding regeneration, resulting in the younger generation finally abandoning agriculture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{"citationItems":[{"id":"ITEM-1","itemData":{"DOI":"10.33005/jimaemagri.v11i1.7","ISSN":"2085-5788","abstract":"This research aims to determine the causes of the decline in the interest and participation of the younger generation in the agricultural sector and its impact, so that appropriate steps can be taken to improve the situation. The research method used is a literature study with a secondary data collection approach from the library by reading, taking notes, and then processing library materials to be used as discussion and research results. The results of the study show that the decline in interest and participation of the younger generation is caused by negative perceptions of agriculture, urbanization, and modernization, limited access to resources, economic uncertainty, level of education, and changes in social and values. This phenomenon can threaten a country's food security and the sustainability of the agricultural sector, so a comprehensive and sustainable strategy is needed, such as increasing education and training, skills development, infrastructure development and access to resources, increasing economic welfare, promotion and campaigning, and building partnerships and collaboration.","author":[{"dropping-particle":"","family":"Oktaviani","given":"Dewi Anggun","non-dropping-particle":"","parse-names":false,"suffix":""},{"dropping-particle":"","family":"Rozci","given":"Fatchur","non-dropping-particle":"","parse-names":false,"suffix":""}],"container-title":"Jurnal Ilmiah Manajemen Agribisnis","id":"ITEM-1","issue":"1","issued":{"date-parts":[["2024"]]},"page":"48-56","title":"Analisis Penyebab Menurunnya Minat dan Partisipasi Generasi Muda dalam Sektor Pertanian","type":"article-journal","volume":"11"},"uris":["http://www.mendeley.com/documents/?uuid=d3e04419-e82f-4c9b-97f5-2c6860e652fd"]},{"id":"ITEM-2","itemData":{"abstract":"… Therefore it is essential to investigate the determinants of farmer regeneration. This study … ’ desire for their children to become a farmer as a new independent variable. The population of …","author":[{"dropping-particle":"","family":"Saputra","given":"Adiyana","non-dropping-particle":"","parse-names":false,"suffix":""},{"dropping-particle":"","family":"Istiqomah","given":"","non-dropping-particle":"","parse-names":false,"suffix":""},{"dropping-particle":"","family":"Binardjo","given":"Goro","non-dropping-particle":"","parse-names":false,"suffix":""}],"container-title":"Agrisocionomics Jurnal Sosial Ekonomi dan Kebijakan Pertanian","id":"ITEM-2","issue":"1","issued":{"date-parts":[["2022"]]},"page":"23-32","title":"What attracts rural youth to farming? evidence from Central Java","type":"article-journal","volume":"6"},"uris":["http://www.mendeley.com/documents/?uuid=9b4002b8-1c7b-487e-8aa8-be10bb0b2ec0"]}],"mendeley":{"formattedCitation":"(Oktaviani &amp; Rozci, 2024; Saputra et al., 2022)","plainTextFormattedCitation":"(Oktaviani &amp; Rozci, 2024; Saputra et al., 2022)","previouslyFormattedCitation":"[10], [11]"},"properties":{"noteIndex":0},"schema":"https://github.com/citation-style-language/schema/raw/master/csl-citation.json"}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(Oktaviani &amp; Rozci, 2024; Saputra et al., 2022)</w:t>
      </w:r>
      <w:r>
        <w:rPr>
          <w:rFonts w:ascii="Times New Roman" w:hAnsi="Times New Roman" w:cs="Times New Roman"/>
          <w:color w:val="000000" w:themeColor="text1"/>
        </w:rPr>
        <w:fldChar w:fldCharType="end"/>
      </w:r>
      <w:r>
        <w:rPr>
          <w:rFonts w:ascii="Times New Roman" w:hAnsi="Times New Roman" w:cs="Times New Roman"/>
          <w:color w:val="000000" w:themeColor="text1"/>
        </w:rPr>
        <w:t>.  Negative stereotypes are inextricably associated with the various social realities that generate the notion that farming is an undesirable career path with numerous drawbacks. This profession is associated with poverty, lack of prestige, no education required, and dirty work that relies on physical ability rather than intelligence, is high risk, and is less financially profitable, so it is considered less promising for the future when compared to non-agricultural jobs such as industry and services</w:t>
      </w:r>
      <w:r>
        <w:rPr>
          <w:rFonts w:ascii="Times New Roman" w:hAnsi="Times New Roman" w:eastAsia="SimSun" w:cs="Times New Roman"/>
          <w:color w:val="000000" w:themeColor="text1"/>
        </w:rPr>
        <w:t xml:space="preserve">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{"citationItems":[{"id":"ITEM-1","itemData":{"author":[{"dropping-particle":"","family":"Priani","given":"Gisca Wahyu","non-dropping-particle":"","parse-names":false,"suffix":""},{"dropping-particle":"","family":"Rozaki","given":"Zuhud","non-dropping-particle":"","parse-names":false,"suffix":""},{"dropping-particle":"","family":"Wulandari","given":"Retno","non-dropping-particle":"","parse-names":false,"suffix":""},{"dropping-particle":"","family":"Azzahra","given":"Isni","non-dropping-particle":"","parse-names":false,"suffix":""},{"dropping-particle":"","family":"Yogyakarta","given":"Universitas Muhammadiyah","non-dropping-particle":"","parse-names":false,"suffix":""}],"container-title":"Proceedings Universitas Muhammadiyah Yogyakarta Undergraduate Conference","id":"ITEM-1","issued":{"date-parts":[["2023"]]},"page":"256-260","title":"Challenges and Opportunities for the Young Generation in Sustainable Agricultural Development","type":"article-journal","volume":"2023"},"uris":["http://www.mendeley.com/documents/?uuid=d4c55eb5-7db3-4fe8-b2dc-19fde25bb5a7"]},{"id":"ITEM-2","itemData":{"DOI":"10.33005/jimaemagri.v11i1.7","ISSN":"2085-5788","abstract":"This research aims to determine the causes of the decline in the interest and participation of the younger generation in the agricultural sector and its impact, so that appropriate steps can be taken to improve the situation. The research method used is a literature study with a secondary data collection approach from the library by reading, taking notes, and then processing library materials to be used as discussion and research results. The results of the study show that the decline in interest and participation of the younger generation is caused by negative perceptions of agriculture, urbanization, and modernization, limited access to resources, economic uncertainty, level of education, and changes in social and values. This phenomenon can threaten a country's food security and the sustainability of the agricultural sector, so a comprehensive and sustainable strategy is needed, such as increasing education and training, skills development, infrastructure development and access to resources, increasing economic welfare, promotion and campaigning, and building partnerships and collaboration.","author":[{"dropping-particle":"","family":"Oktaviani","given":"Dewi Anggun","non-dropping-particle":"","parse-names":false,"suffix":""},{"dropping-particle":"","family":"Rozci","given":"Fatchur","non-dropping-particle":"","parse-names":false,"suffix":""}],"container-title":"Jurnal Ilmiah Manajemen Agribisnis","id":"ITEM-2","issue":"1","issued":{"date-parts":[["2024"]]},"page":"48-56","title":"Analisis Penyebab Menurunnya Minat dan Partisipasi Generasi Muda dalam Sektor Pertanian","type":"article-journal","volume":"11"},"uris":["http://www.mendeley.com/documents/?uuid=d3e04419-e82f-4c9b-97f5-2c6860e652fd"]},{"id":"ITEM-3","itemData":{"ISBN":"1620203103","abstract":"Regenerasi petani merupakan solusi terhadap menurunnya jumlah petani. Penelitian bertujuan menganalisis secara deskriptif kegiatan agribisnis, kapasitas kewirausahaan, peranan penyuluh pertanian, dukungan pemerintah, keluarga, komunitas, pasar dan karakteristik petani muda, serta menganalisis faktor-faktor yang berpengaruh terhadap kapasitas kewirausahaan dan kegiatan agribisnis petani muda. Pengumpulan data melalui wawancara menggunakan instrumen penelitian. Instrumen berupa kuesioner yang sudah valid dan reliabel. Analisis data dilakukan secara deskriptif dan inferensial menggunakan Structural Equation Models (SEM). Hasil penelitian menemukan bahwa petani muda memiliki pendidikan lebih baik dibanding petani dewasa, sebagian besar belum mengikuti pelatihan dan magang, sudah memiliki akses terhadap Teknologi Informasi dan Komunikasi (TIK), persepsi terhadap usaha pertanian dalam kategori sedang tetapi motivasinya masih rendah. Demikian juga petani muda mendapat dukungan eksternal, peranan penyuluh pertanian yang masih rendah dan memiliki kapasitas dan kegiatan agribisnis dalam kategori rendah. Pengembangan kapasitas kewirausahaan dapat dilakukan melalui penguatan karakteristik petani muda dan peranan penyuluh pertanian. Karakteristik petani muda tercermin melalui pendidikan formal, akses TIK, persepsi dan motivasi. Peranan penyuluh pertanian direfleksikan sebagai fasilitator, komunikator, motivator dan konsultan. Penguatan kegiatan agribisnis petani muda dapat dilakukan melalui kapasitas kewirausahaannya dengan meningkatkan kemampuan adaptasi, kepemimpinan, kemampuan mengelola usaha, kerja sama dan peranan penyuluh pertanian sebagai fasilitator, komunikator, motivator dan konsultan. Kegiatan agribisnis petani muda juga dapat ditingkatkan dengan memperkuat dukungan eksternal meliputi dukungan pemerintah, keluarga, komunitas dan pasar.","author":[{"dropping-particle":"","family":"Anwarudin","given":"Oeng","non-dropping-particle":"","parse-names":false,"suffix":""},{"dropping-particle":"","family":"Sumardjo","given":"Sumardjo","non-dropping-particle":"","parse-names":false,"suffix":""},{"dropping-particle":"","family":"Satria","given":"Arif","non-dropping-particle":"","parse-names":false,"suffix":""},{"dropping-particle":"","family":"Fatchiya","given":"Anna","non-dropping-particle":"","parse-names":false,"suffix":""}],"container-title":"Jurnal Penyuluhan","id":"ITEM-3","issue":"02","issued":{"date-parts":[["2020"]]},"page":"267-276","title":"Kapasitas Kewirausahaan Petani Muda dalam Agribisnis di Jawa Barat","type":"article-journal","volume":"16"},"uris":["http://www.mendeley.com/documents/?uuid=0aa0731b-18d9-4247-a083-28adc06d994d"]},{"id":"ITEM-4","itemData":{"DOI":"10.20961/agritexts.v42i2.43315","ISSN":"2721-5903","abstract":"This research was aimed to investigate the perception of youth farmers to farmer's job, to investigate the factor of perception formers, and to investigate the relationship of perception-formers factors with the perception of youth to farmer's job.  The  basic  method  used  was  descriptive  analysis  with  survey  technique.  The location of research was determined purposively that is Purworejo Subdistrict Purworejo District. The sample was determined by multistage cluster random sampling technique, as many as 60 youth farmers scattered in three villages namely Pacekelan Village, Ganggeng Village, and Paduroso Village. Data analysis used spearman rank. The results showed that the perception of youth to farmers’ job is 66.67% that youth have good perception on the farmers' job. The factors forming the perception of youth farmers in Purworejo sub district are majority of formal education in the high category, the majority of family environment in the medium category, majority social culture in low category, whereas non-formal education, primary social environment, secondary social  environment  and  cosmopolitan  majority  in  category  very  low. There  is  an intense significant relationship between family environment and socio-culture with youth perception on farmer's work at 99% confidence level, at 95% level there is a significant relationship between work involvement and primary social environment with youth perception on farmer's job, whereas formal education, non-formal education, secondary social and cosmopolitan environments do not have a significant relationship with youth perceptions of farmer's job.","author":[{"dropping-particle":"","family":"Fitriyana","given":"Elya","non-dropping-particle":"","parse-names":false,"suffix":""},{"dropping-particle":"","family":"Wijianto","given":"Arip","non-dropping-particle":"","parse-names":false,"suffix":""},{"dropping-particle":"","family":"Widiyanti","given":"Emi","non-dropping-particle":"","parse-names":false,"suffix":""}],"container-title":"AGRITEXTS: Journal of Agricultural Extension","id":"ITEM-4","issue":"2","issued":{"date-parts":[["2020"]]},"page":"119","title":"Persepsi Pemuda Tani Terhadap Pekerjaan Sebagai Petani Di Kecamatan Purworejo Kabupaten Purworejo","type":"article-journal","volume":"42"},"uris":["http://www.mendeley.com/documents/?uuid=cdb172ee-2524-4781-95a1-198d1e12ebce"]},{"id":"ITEM-5","itemData":{"DOI":"10.21776/ub.jepa.2023.007.02.5","ISSN":"2614-4670","abstract":"Fenomena sekarang menunjukkan ketenagakerjaan di sektor pertanian umumnya berpendidikan rendah dan usianya di atas 40 tahun. Tenaga kerja usia muda di pedesaan cenderung lebih tertarik bekerja di luar sektor pertanian. Permasalahan serupa terjadi di Kabupaten Purbalingga. BPS tahun 2020 mencatat tenaga kerja usia muda sektor pertanian di Kabupaten Purbalingga menempati posisi paling akhir di antara eks Karesidenan Banyumas yaitu sebesar 32.686 orang.&lt;strong&gt; &lt;/strong&gt;Penelitian ini bertujuan untuk Menganalisis persepsi pemuda dalam usaha di sektor pertanian di Kabupaten Purbalingga. Penelitian dilaksanakan di empat kecamatan, yaitu: Kecamatan Karangreja, Kecamatan Kutasari, Kecamatan Kaligondang, dan Kecamatan Kejobong, atas dasar pertimbangan dua kecamatan terletah jauh dari pusat kota dan dua kecamatan dekat dengan pusat kota. Metode penelitian yang digunakan adalah metode survei. Penentuan sampel menggunakan metode &lt;em&gt;multistage random sampling&lt;/em&gt; dan diperoleh 100 responden pemuda berusia antara 19 hingga 39 tahun. Metode analisis data yang digunakan adalah analisis deskriptif kuantitatif. Hasil penelitian menunjukkan bahwa Persepsi pemuda dalam usaha di sektor pertanian di Kabupaten Purbalingga adalah baik. Dimensi yang paling dominan membentuk persepsi pemuda dalam kegiatan usaha &lt;em&gt;on-farm&lt;/em&gt; adalah faktor eksternal, dengan rata-rata skor paling tinggi pada indikator produk pertanian bernilai ekonomi tinggi sebesar 3,273. Dimensi yang paling dominan membentuk persepsi pemuda dalam kegiatan usaha &lt;em&gt;off-farm &lt;/em&gt;adalah faktor eksternal, dengan rata-rata skor paling tinggi pada indikator kemudahan akses pasar sebesar 3,343.","author":[{"dropping-particle":"","family":"Hernowo","given":"Hernowo","non-dropping-particle":"","parse-names":false,"suffix":""},{"dropping-particle":"","family":"Sutanto","given":"Agus","non-dropping-particle":"","parse-names":false,"suffix":""},{"dropping-particle":"","family":"Suyono","given":"Suyono","non-dropping-particle":"","parse-names":false,"suffix":""}],"container-title":"Jurnal Ekonomi Pertanian dan Agribisnis","id":"ITEM-5","issue":"2","issued":{"date-parts":[["2023"]]},"page":"472","title":"Kegiatan On-Farm Dan Off-Farm Sebagai Usaha Di Sektor Pertanian: Persepsi Pemuda Di Kabupaten Purbalingga","type":"article-journal","volume":"7"},"uris":["http://www.mendeley.com/documents/?uuid=7fa2c702-a1a8-4fdf-8189-4c9594cfeda9"]}],"mendeley":{"formattedCitation":"(Anwarudin et al., 2020; Fitriyana et al., 2020; Hernowo et al., 2023; Oktaviani &amp; Rozci, 2024; Priani et al., 2023)","manualFormatting":"(Anwarudin et al., 2020; Fitriyana et al., 2020; Hernowo et al., 2023; Oktaviani &amp; Rozci, 2024)","plainTextFormattedCitation":"(Anwarudin et al., 2020; Fitriyana et al., 2020; Hernowo et al., 2023; Oktaviani &amp; Rozci, 2024; Priani et al., 2023)","previouslyFormattedCitation":"[4], [10], [12]–[14]"},"properties":{"noteIndex":0},"schema":"https://github.com/citation-style-language/schema/raw/master/csl-citation.json"}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(Anwarudin et al., 2020; Fitriyana et al., 2020; Hernowo et al., 2023; Oktaviani &amp; Rozci, 2024)</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 xml:space="preserve">. Thus, negative perceptions are the primary reason why the younger generation fails to persist and eventually leaves agriculture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{"citationItems":[{"id":"ITEM-1","itemData":{"DOI":"10.22146/ae.46439","ISSN":"0215-8787","abstract":"The horticulture subsector occupies a strategic position in the development of Indonesia's agriculture sector. Farmers have an important role in developing agriculture and promoting the agricultural sector in Indonesia. Therefore this paper aims (1) to find out the distribution of characteristics of young farmers in Malang Regency, (2) to know the managerial capacity and empowerment of young farmers in horticultural agriculture in Malang Regency. This research was conducted in five villages in Malang Regency in 2018. These villages were Codo Village, Dampit Village, Punten Village, Gempol Village, and Ngantru Village. The sample is determined by census with a sample size of 195. The analytical method used is descriptive method. Data obtained using interviews through questionnaires. The results showed that the characteristics of young horticultural farmers in Malang Regency were mostly in their 30s and men. The level of education of young horticultural farmers is still low and on average has 9 years of agricultural experience with low land ownership. An intensive policy is needed for young farmers in terms of land ownership. Most farmers have used cellphones or gadgets to carry out agricultural transactions. Most young horticultural farmers in Malang Regency already have good managerial capacity, but in terms of empowerment is still not optimal. The government and farmer groups need to increase their role in supporting the agriculture of young horticultural farmers to be more developed so that young farmers in Malang Regency do not leave their jobs in the agricultural sector..","author":[{"dropping-particle":"","family":"Arvianti","given":"Eri Yusnita","non-dropping-particle":"","parse-names":false,"suffix":""},{"dropping-particle":"","family":"Masyhuri","given":"Masyhuri","non-dropping-particle":"","parse-names":false,"suffix":""},{"dropping-particle":"","family":"Waluyati","given":"Lestari Rahayu","non-dropping-particle":"","parse-names":false,"suffix":""},{"dropping-particle":"","family":"Darwanto","given":"Dwidjono Hadi","non-dropping-particle":"","parse-names":false,"suffix":""}],"container-title":"Agro Ekonomi","id":"ITEM-1","issue":"2","issued":{"date-parts":[["2019"]]},"title":"Characteristics of Young Horticultural Farmers in Malang Regency","type":"article-journal","volume":"30"},"uris":["http://www.mendeley.com/documents/?uuid=d9f86a8f-7d07-4cb6-97f2-6721f5e5b97f"]}],"mendeley":{"formattedCitation":"(Arvianti et al., 2019)","plainTextFormattedCitation":"(Arvianti et al., 2019)","previouslyFormattedCitation":"[15]"},"properties":{"noteIndex":0},"schema":"https://github.com/citation-style-language/schema/raw/master/csl-citation.json"}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(Arvianti et al., 2019)</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w:t>
      </w:r>
    </w:p>
    <w:p w14:paraId="4B139FCD">
      <w:pPr>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Another concern is limited access to agricultural land due to rising selling and leasing prices, which would discourage the younger generation from entering the agricultural business. Furthermore, the inheritance system has been reported to contribute to the fragmentation of agricultural land, resulting in relatively small land ownership for each heir </w:t>
      </w:r>
      <w:r>
        <w:rPr>
          <w:rFonts w:ascii="Times New Roman" w:hAnsi="Times New Roman" w:eastAsia="Calibri" w:cs="Times New Roman"/>
          <w:color w:val="000000" w:themeColor="text1"/>
        </w:rPr>
        <w:fldChar w:fldCharType="begin" w:fldLock="1"/>
      </w:r>
      <w:r>
        <w:rPr>
          <w:rFonts w:ascii="Times New Roman" w:hAnsi="Times New Roman" w:eastAsia="Calibri" w:cs="Times New Roman"/>
          <w:color w:val="000000" w:themeColor="text1"/>
        </w:rPr>
        <w:instrText xml:space="preserve">ADDIN CSL_CITATION {"citationItems":[{"id":"ITEM-1","itemData":{"DOI":"doi: https://doi.org/10.37149/JIMDP.v8i2.206 ANALISIS","author":[{"dropping-particle":"","family":"Yamin","given":"Muhammad","non-dropping-particle":"","parse-names":false,"suffix":""},{"dropping-particle":"","family":"Ayuningsih","given":"Deswita Fajar","non-dropping-particle":"","parse-names":false,"suffix":""}],"container-title":"Jurnal Ilmiah Membangun Desa dan Pertanian","id":"ITEM-1","issue":"2","issued":{"date-parts":[["2023"]]},"page":"68-67","title":"Analisis Minat Anak Petani Padi menajdi Petani Di Desa Pasemah Air Keruh Sumatera Selatan","type":"article-journal","volume":"8"},"uris":["http://www.mendeley.com/documents/?uuid=154f8747-db2c-4cf0-93c8-72e50f747780"]}],"mendeley":{"formattedCitation":"(Yamin &amp; Ayuningsih, 2023)","plainTextFormattedCitation":"(Yamin &amp; Ayuningsih, 2023)","previouslyFormattedCitation":"[16]"},"properties":{"noteIndex":0},"schema":"https://github.com/citation-style-language/schema/raw/master/csl-citation.json"}</w:instrText>
      </w:r>
      <w:r>
        <w:rPr>
          <w:rFonts w:ascii="Times New Roman" w:hAnsi="Times New Roman" w:eastAsia="Calibri" w:cs="Times New Roman"/>
          <w:color w:val="000000" w:themeColor="text1"/>
        </w:rPr>
        <w:fldChar w:fldCharType="separate"/>
      </w:r>
      <w:r>
        <w:rPr>
          <w:rFonts w:ascii="Times New Roman" w:hAnsi="Times New Roman" w:eastAsia="Calibri" w:cs="Times New Roman"/>
          <w:color w:val="000000" w:themeColor="text1"/>
        </w:rPr>
        <w:t>(Yamin &amp; Ayuningsih, 2023)</w:t>
      </w:r>
      <w:r>
        <w:rPr>
          <w:rFonts w:ascii="Times New Roman" w:hAnsi="Times New Roman" w:eastAsia="Calibri" w:cs="Times New Roman"/>
          <w:color w:val="000000" w:themeColor="text1"/>
        </w:rPr>
        <w:fldChar w:fldCharType="end"/>
      </w:r>
      <w:r>
        <w:rPr>
          <w:rFonts w:ascii="Times New Roman" w:hAnsi="Times New Roman" w:eastAsia="Calibri" w:cs="Times New Roman"/>
          <w:color w:val="000000" w:themeColor="text1"/>
        </w:rPr>
        <w:t>, preventing some young farmers from generating sufficient income from small agricultural land. Furthermore, there is a movement in society's thinking toward industry, making it difficult for the next generation to preserve the agricultural sector as a legacy of their forefathers</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10.25157/ma.v10i2.13506","ISSN":"2460-4321","author":[{"dropping-particle":"","family":"Julia","given":"Anna","non-dropping-particle":"","parse-names":false,"suffix":""},{"dropping-particle":"","family":"Heryanto","given":"Mahra Arari","non-dropping-particle":"","parse-names":false,"suffix":""},{"dropping-particle":"","family":"Utami","given":"Hesty Nurul","non-dropping-particle":"","parse-names":false,"suffix":""},{"dropping-particle":"","family":"Rachmawati","given":"Erna","non-dropping-particle":"","parse-names":false,"suffix":""}],"container-title":"Mimbar Agribisnis : Jurnal Pemikiran Masyarakat Ilmiah Berwawasan Agribisnis","id":"ITEM-1","issue":"2","issued":{"date-parts":[["2024"]]},"page":"1757","title":"Minat Generasi Muda Keluarga Petani terhadap Sektor Pertanian di Desa Karangligar, Kecamatan Telukjambe Barat, Kabupaten Karawang","type":"article-journal","volume":"10"},"uris":["http://www.mendeley.com/documents/?uuid=fb2a8db9-37b6-41df-9bbb-a9316844c4ed"]}],"mendeley":{"formattedCitation":"(Julia et al., 2024)","plainTextFormattedCitation":"(Julia et al., 2024)","previouslyFormattedCitation":"[17]"},"properties":{"noteIndex":0},"schema":"https://github.com/citation-style-language/schema/raw/master/csl-citation.json"}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(Julia et al., 2024)</w:t>
      </w:r>
      <w:r>
        <w:rPr>
          <w:rFonts w:ascii="Times New Roman" w:hAnsi="Times New Roman" w:cs="Times New Roman"/>
          <w:color w:val="000000" w:themeColor="text1"/>
        </w:rPr>
        <w:fldChar w:fldCharType="end"/>
      </w:r>
      <w:r>
        <w:rPr>
          <w:rFonts w:ascii="Times New Roman" w:hAnsi="Times New Roman" w:cs="Times New Roman"/>
          <w:color w:val="000000" w:themeColor="text1"/>
        </w:rPr>
        <w:t>.  Another factor is income uncertainty in agriculture; many farmers confront risks, particularly from climate change, which increases production costs, price volatility, and revenue instability. The third implication makes farming less appealing, particularly among the younger generation (</w:t>
      </w:r>
      <w:r>
        <w:rPr>
          <w:rFonts w:ascii="Times New Roman" w:hAnsi="Times New Roman" w:eastAsia="SimSun" w:cs="Times New Roman"/>
          <w:color w:val="000000" w:themeColor="text1"/>
        </w:rPr>
        <w:t xml:space="preserve">Oktaviani &amp; Rozci, 2024). </w:t>
      </w:r>
    </w:p>
    <w:p w14:paraId="4AE66845">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Modernization, including the rise of new cultures, has a significant impact on socio-cultural values.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{"citationItems":[{"id":"ITEM-1","itemData":{"DOI":"10.21107/agriscience.v2i2.11366","abstract":"Desa Sewor merupakan desa yang didominasi oleh petani. Namun,rata-rata usia petani Desa Sewor sebagian besar adalah golongan tua dengan usia lebih dari 45 tahun. Penelitian ini bertujuan untuk mengetahui persepsi generasi muda di Desa Sewor mengenai pekerjaan di sektor pertanian dan mengetahui hubungan antara faktor internal dan eksternal dengan persepsi pemuda terhadap pekerjaan di sektor pertanian. Data yang digunakan dalam penelitian ini adalah data primer dan data sekunder. Data primer dikumpulkan dari sejumlah 81 respondendengan menggunakan kuisioner. Teknik analisis data yang digunakan adalah analisis deskriptif dan uji chi-square.Hasil penelitian menunjukkan bahwa pandangan pemuda pedesaan terhadap pekerjaan di sektor pertanian berada pada kategori baik. Faktor internalseperti jenis kelamin, usia, pendidikan terakhir, status pernikahan, dan pekerjaan saat ini, serta faktor eksternalseperti pendapatan orang tua dan sosialisasi pekerjaan pertanian yang telah diuji secara keseluruhan tidak memiliki hubungan dengan persepsi pemuda terhadap pekerjaan di sektor pertanian.","author":[{"dropping-particle":"","family":"Dwiyana","given":"Putri Meysi","non-dropping-particle":"","parse-names":false,"suffix":""},{"dropping-particle":"","family":"Hasan","given":"Fuad","non-dropping-particle":"","parse-names":false,"suffix":""}],"container-title":"Agriscience","id":"ITEM-1","issue":"2","issued":{"date-parts":[["2021"]]},"page":"275-294","title":"Persepsi Pemuda Desa Terkait Pekerjaan di Sektor Pertanian (Studi Kasus: Desa Sewor, Kecamatan Sukorame, Kabupaten Lamongan, Jawa Timur)","type":"article-journal","volume":"2"},"uris":["http://www.mendeley.com/documents/?uuid=53da39b2-eafb-44b5-896e-427d33a2a09f"]},{"id":"ITEM-2","itemData":{"DOI":"10.20961/agritexts.v42i2.43315","ISSN":"2721-5903","abstract":"This research was aimed to investigate the perception of youth farmers to farmer's job, to investigate the factor of perception formers, and to investigate the relationship of perception-formers factors with the perception of youth to farmer's job.  The  basic  method  used  was  descriptive  analysis  with  survey  technique.  The location of research was determined purposively that is Purworejo Subdistrict Purworejo District. The sample was determined by multistage cluster random sampling technique, as many as 60 youth farmers scattered in three villages namely Pacekelan Village, Ganggeng Village, and Paduroso Village. Data analysis used spearman rank. The results showed that the perception of youth to farmers’ job is 66.67% that youth have good perception on the farmers' job. The factors forming the perception of youth farmers in Purworejo sub district are majority of formal education in the high category, the majority of family environment in the medium category, majority social culture in low category, whereas non-formal education, primary social environment, secondary social  environment  and  cosmopolitan  majority  in  category  very  low. There  is  an intense significant relationship between family environment and socio-culture with youth perception on farmer's work at 99% confidence level, at 95% level there is a significant relationship between work involvement and primary social environment with youth perception on farmer's job, whereas formal education, non-formal education, secondary social and cosmopolitan environments do not have a significant relationship with youth perceptions of farmer's job.","author":[{"dropping-particle":"","family":"Fitriyana","given":"Elya","non-dropping-particle":"","parse-names":false,"suffix":""},{"dropping-particle":"","family":"Wijianto","given":"Arip","non-dropping-particle":"","parse-names":false,"suffix":""},{"dropping-particle":"","family":"Widiyanti","given":"Emi","non-dropping-particle":"","parse-names":false,"suffix":""}],"container-title":"AGRITEXTS: Journal of Agricultural Extension","id":"ITEM-2","issue":"2","issued":{"date-parts":[["2020"]]},"page":"119","title":"Persepsi Pemuda Tani Terhadap Pekerjaan Sebagai Petani Di Kecamatan Purworejo Kabupaten Purworejo","type":"article-journal","volume":"42"},"uris":["http://www.mendeley.com/documents/?uuid=cdb172ee-2524-4781-95a1-198d1e12ebce"]}],"mendeley":{"formattedCitation":"(Dwiyana &amp; Hasan, 2021; Fitriyana et al., 2020)","plainTextFormattedCitation":"(Dwiyana &amp; Hasan, 2021; Fitriyana et al., 2020)","previouslyFormattedCitation":"[13], [18]"},"properties":{"noteIndex":0},"schema":"https://github.com/citation-style-language/schema/raw/master/csl-citation.json"}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(Dwiyana &amp; Hasan, 2021; Fitriyana et al., 2020)</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The result is that an ironic phenomenon emerges: most parents do not want their children to become farmers like them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{"citationItems":[{"id":"ITEM-1","itemData":{"DOI":"10.22146/ae.46439","ISSN":"0215-8787","abstract":"The horticulture subsector occupies a strategic position in the development of Indonesia's agriculture sector. Farmers have an important role in developing agriculture and promoting the agricultural sector in Indonesia. Therefore this paper aims (1) to find out the distribution of characteristics of young farmers in Malang Regency, (2) to know the managerial capacity and empowerment of young farmers in horticultural agriculture in Malang Regency. This research was conducted in five villages in Malang Regency in 2018. These villages were Codo Village, Dampit Village, Punten Village, Gempol Village, and Ngantru Village. The sample is determined by census with a sample size of 195. The analytical method used is descriptive method. Data obtained using interviews through questionnaires. The results showed that the characteristics of young horticultural farmers in Malang Regency were mostly in their 30s and men. The level of education of young horticultural farmers is still low and on average has 9 years of agricultural experience with low land ownership. An intensive policy is needed for young farmers in terms of land ownership. Most farmers have used cellphones or gadgets to carry out agricultural transactions. Most young horticultural farmers in Malang Regency already have good managerial capacity, but in terms of empowerment is still not optimal. The government and farmer groups need to increase their role in supporting the agriculture of young horticultural farmers to be more developed so that young farmers in Malang Regency do not leave their jobs in the agricultural sector..","author":[{"dropping-particle":"","family":"Arvianti","given":"Eri Yusnita","non-dropping-particle":"","parse-names":false,"suffix":""},{"dropping-particle":"","family":"Masyhuri","given":"Masyhuri","non-dropping-particle":"","parse-names":false,"suffix":""},{"dropping-particle":"","family":"Waluyati","given":"Lestari Rahayu","non-dropping-particle":"","parse-names":false,"suffix":""},{"dropping-particle":"","family":"Darwanto","given":"Dwidjono Hadi","non-dropping-particle":"","parse-names":false,"suffix":""}],"container-title":"Agro Ekonomi","id":"ITEM-1","issue":"2","issued":{"date-parts":[["2019"]]},"title":"Characteristics of Young Horticultural Farmers in Malang Regency","type":"article-journal","volume":"30"},"uris":["http://www.mendeley.com/documents/?uuid=f89de024-e34a-43f2-b84b-25f04894c51e"]}],"mendeley":{"formattedCitation":"(Arvianti et al., 2019)","plainTextFormattedCitation":"(Arvianti et al., 2019)","previouslyFormattedCitation":"[15]"},"properties":{"noteIndex":0},"schema":"https://github.com/citation-style-language/schema/raw/master/csl-citation.json"}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(Arvianti et al., 2019)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p>
    <w:p w14:paraId="043AEF05">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Furthermore, education level influences the desire to be a farmer; the higher the child's level of education, the less likely they are to become a farmer. When farmers emphasize schooling for their children, they delay the socialization of agriculture for their children, which leads to failure in agricultural succession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{"citationItems":[{"id":"ITEM-1","itemData":{"abstract":"It is widely assumed that young people in rural areas are no longer attracted to work in the agricultural sector, especially small scale agriculture. On the other hand, small scale agriculture in Indonesia is still WKHHQDWLRQ ¶VVELJJHVWWabsorber of labour. In the future, young SHRSOH ¶VVDEDQGRQPHQWWRI agriculture could be a serious threat for social reproduction in the agricultural sector and rural society. Based on that concern, this study analyses young men DQGG ZRPHQ ¶V preference and involvement in farming, and factors that influence it. The research was carried out in 12 villages in 3 provinces with high rice production (West Java, Central Java, and South Sulawesi). This research found that on the one hand, rural youth are not attracted to work in agriculture, but in fact many are still involved in agriculture. Their involvement in farming, generally, is only as family labour and wage worker. For young people who are interested to become farmers, it is almost impossible to get access to farm land while still young. This is one reason why young people decide to migrate. But the GHFLVLRQQ µWRR IDUPP RUU QRWW WRR IDUP ¶ ¶ LVV QRWW QHFHVVDULO\\\\ DD GHFLVLRQQ IRUU OLIHHH PDQ\\\\ RII WRGD\\ ¶VV farmers have a history of migration, and returned when they had accumulated savings and/or when land became available. For these reasons, the authors do not feel that there will be any serious problem of regeneration of the small-farm sector in the future. One kind of farm work that is attractive for young men and women is rice harvesting. But now rice harvesting is threatened by the introduction of combine harvester technology. This technology can be operated only by 6-7 persons, while manual rice harvesting needs about 30 labourers per hectare. There are many factors that influence \\RXQJJSHRSOH ¶V preference and involvement in agriculture, namely: access to land, the presence and quality of non farm occupation, young SHRSOH ¶VVLPDJHHRIIDJULFXOWXUHHDQGGUXUDOOOLIHHHand educational level.","author":[{"dropping-particle":"","family":"Nugraha","given":"Yogaprasta A","non-dropping-particle":"","parse-names":false,"suffix":""},{"dropping-particle":"","family":"Herawati","given":"Rina","non-dropping-particle":"","parse-names":false,"suffix":""}],"container-title":"Seri Penelitian Akatiga","id":"ITEM-1","issue":"1","issued":{"date-parts":[["2015"]]},"page":"1-23","title":"Menguak Realitas Orang Muda Sektor Pertanian Di Perdesaan","type":"article-journal","volume":"19"},"uris":["http://www.mendeley.com/documents/?uuid=e4588d16-130f-4cfa-b942-da2aa1d71675"]}],"mendeley":{"formattedCitation":"(Nugraha &amp; Herawati, 2015)","plainTextFormattedCitation":"(Nugraha &amp; Herawati, 2015)","previouslyFormattedCitation":"[19]"},"properties":{"noteIndex":0},"schema":"https://github.com/citation-style-language/schema/raw/master/csl-citation.json"}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(Nugraha &amp; Herawati, 2015)</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bookmarkStart w:id="0" w:name="_Hlk179149424"/>
      <w:r>
        <w:rPr>
          <w:rFonts w:ascii="Times New Roman" w:hAnsi="Times New Roman" w:cs="Times New Roman"/>
          <w:color w:val="000000" w:themeColor="text1"/>
        </w:rPr>
        <w:t xml:space="preserve"> </w:t>
      </w:r>
      <w:bookmarkEnd w:id="0"/>
      <w:r>
        <w:rPr>
          <w:rFonts w:ascii="Times New Roman" w:hAnsi="Times New Roman" w:cs="Times New Roman"/>
          <w:color w:val="000000" w:themeColor="text1"/>
        </w:rPr>
        <w:t>As a result, the agricultural industry is only deemed appropriate for people who do not thrive academically.</w:t>
      </w:r>
    </w:p>
    <w:p w14:paraId="63F03F06">
      <w:pPr>
        <w:spacing w:after="80" w:line="240" w:lineRule="auto"/>
        <w:ind w:firstLine="720"/>
        <w:jc w:val="both"/>
        <w:rPr>
          <w:rFonts w:ascii="Times New Roman" w:hAnsi="Times New Roman" w:eastAsia="Calibri" w:cs="Times New Roman"/>
          <w:color w:val="000000" w:themeColor="text1"/>
        </w:rPr>
      </w:pPr>
      <w:r>
        <w:rPr>
          <w:rFonts w:ascii="Times New Roman" w:hAnsi="Times New Roman" w:cs="Times New Roman"/>
          <w:color w:val="000000" w:themeColor="text1"/>
        </w:rPr>
        <w:t xml:space="preserve">On the other hand, several significant factors encourage young farmers to continue agricultural activities in the future, including family support, land access, government support, rural infrastructure improvements, and off-farm jobs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{"citationItems":[{"id":"ITEM-1","itemData":{"DOI":"10.7160/aol.2023.150204","ISSN":"18041930","abstract":"Young farmers have an important role as the future of food security and sustainable agriculture depends on them. However, the young farmer problem is getting serious all over the world, whether the countries are developed or developing. The objective of this study is to determine the factors that affect the willingness of young farmers to continue agriculture in the future, especially based on social and cultural factors with economic factors. Data were collected from 200 young farmers' questionnaires in İzmir, Turkey, and Niigata, Japan. Using the logistic regression model, we found that social factors play an important role in retaining young farmers in agriculture such as the respectability and importance of farming, and the multifunctional role of farming, along with economic factors such as off-farm job, farmland size, and subsidies. If countries can clarify the importance of farming and food production to young generations, they will make essential contributions to the sustainability of food security and agricultural sustainability.","author":[{"dropping-particle":"","family":"Karahan","given":"Mizgin","non-dropping-particle":"","parse-names":false,"suffix":""},{"dropping-particle":"","family":"Abay","given":"Canan","non-dropping-particle":"","parse-names":false,"suffix":""},{"dropping-particle":"","family":"Ito","given":"Ryoji","non-dropping-particle":"","parse-names":false,"suffix":""}],"container-title":"Agris On-line Papers in Economics and Informatics","id":"ITEM-1","issue":"2","issued":{"date-parts":[["2023"]]},"page":"41-54","title":"Determining Factors of Retaining Young Farmers in Agriculture: A Case study in Turkey and Japan","type":"article","volume":"15"},"uris":["http://www.mendeley.com/documents/?uuid=34bb7a5c-9ff5-4803-950d-0319296799a1"]},{"id":"ITEM-2","itemData":{"DOI":"10.30682/nm2401g","ISSN":"26111128","abstract":"There has been an increase in the demand for agricultural products and different support programs are implemented by countries to keep a sufficient, economically active population in agriculture. The aim of this study was to examine the impacts of the Young Farmer Support Program (YFP) in Türkiye. The primary data for this study was obtained from face-to-face surveys conducted with 155 young farmers. The logit model was used to analyse the factors affecting the willingness of young farmers to continue agricultural activities. The results showed that about half of the young farmers were not satisfied with the provided support, and 23.7% of them considered exiting the agricultural sector. The results of the Logit model showed that the satisfaction from the Program, the presence of social facilities in the rural areas, crop diversity, agricultural insurance, and investments in the farms were statistically significant and had an impact on the willingness of young farmers to continue their farm activities. Diversifying and expand-ing the scope of support policies for young farmers could make significant contributions to keeping young farmers in the agricultural sector and rural areas.","author":[{"dropping-particle":"","family":"Türker","given":"Metin","non-dropping-particle":"","parse-names":false,"suffix":""}],"container-title":"New Medit","id":"ITEM-2","issue":"1","issued":{"date-parts":[["2024"]]},"page":"103-114","title":"Impact of Young Farmers Supports on the young farmers’ willingness to continue farm activities: A case of TR52 region in Türkiye","type":"article-journal","volume":"2024"},"uris":["http://www.mendeley.com/documents/?uuid=7b4c54dd-a902-4b7c-a7d8-8b303ab8ed9c"]}],"mendeley":{"formattedCitation":"(Karahan et al., 2023; Türker, 2024)","plainTextFormattedCitation":"(Karahan et al., 2023; Türker, 2024)","previouslyFormattedCitation":"[2], [20]"},"properties":{"noteIndex":0},"schema":"https://github.com/citation-style-language/schema/raw/master/csl-citation.json"}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(Karahan et al., 2023; Türker, 2024)</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Support for young farmers, particularly from family members, and recognition of the farming profession in the residential environment will boost self-confidence in the profession, resulting in a desire to stay in agriculture. Several studies have demonstrated that parents and close family members play a crucial role in informing and encouraging young Indonesians to choose to work in agriculture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{"citationItems":[{"id":"ITEM-1","itemData":{"DOI":"10.31292/jb.v2i2.72","ISSN":"2442-6954","abstract":"Abstract : Nowadays, regeneration crisis of manpower for farming has become an alert for many countries, both poor and developing countries. In Indonesia, this crisis is seen in the decreasing number of agriculture labour, especially for the youth age. Cikarawang is one of many villages which experienced crises of youth employments in farming sector. This research was aimed to explore possible aspects for the youth to allow them remain working in farming sector. Bonding and pushing factors for the youth to remain working in farming sector are the main aspects that were focused in this research. This research used the concept of “gerontocracy and land access for the youth” by Ben White. This research was conducted using mixed method, by integrating quantitative and qualitative approaches. Qualitative approach was performed by observation and an in-depth interview. Quantitative approach was conducted by implementing survey of 40 youths in Cikarawang Village as respondents, with the age of 16 – 35 as the samples. Qualitative data were analysed using Nvivo, while quantitative data were analysed using cross tabulation technique. The results show that land possession, farming skill and marital status were the main factors for the youth to remain working in farming sector. Whilst, factors that eliminates the youth to leave agricultural sector were education and the capabilities of non-farming skills. Keywords : Youth, Farming, Land Possession, Gerontocracy, Regeneration, laborIntisari : Krisis regenerasi tenaga pertanian menjadi persoalan di banyak negara saat ini, baik negara-negara miskin maupun negara berkembang. Dalam konteks Indonesia, krisis regenerasi tenaga pertanian di desa secara nyata terlihat dari penurunan jumlah tenaga kerja di sektor pertanian yang terjadi pada kelompok umur pemuda. Cikarawang merupakan salah satu desa yang mengalami krisis tenaga muda di sektor pertanian. Penelitian ini diarahkan untuk menggali aspek yang memungkinkan pemuda untuk tetap tinggal dan terjun di sektor pertanian. Aspek-aspek ini secara khusus difokuskan pada faktor pengikat dan pendorong bagi pemuda untuk bertahan di sektor pertanian. Perspektif teori yang digunakan dalam tulisan ini adalah konsep gerontokrasi dan akses lahan untuk pemuda dari Ben White. Penelitian dilakukan dengan menggunakan metode campuran yaitu dengan mengintegrasikan pendekatan kualitatif dan kuantitatif. Pendekatan kualitatif dilakukan dengan menggunakan observasi dan metode wawancara mendala…","author":[{"dropping-particle":"","family":"Pujiriyani","given":"Dwi Wulan","non-dropping-particle":"","parse-names":false,"suffix":""},{"dropping-particle":"","family":"Suharyono","given":"Sri","non-dropping-particle":"","parse-names":false,"suffix":""},{"dropping-particle":"","family":"Hayat","given":"Ibnul","non-dropping-particle":"","parse-names":false,"suffix":""},{"dropping-particle":"","family":"Azzahra","given":"Fatimah","non-dropping-particle":"","parse-names":false,"suffix":""}],"container-title":"BHUMI: Jurnal Agraria dan Pertanahan","id":"ITEM-1","issue":"2","issued":{"date-parts":[["2016"]]},"page":"209","title":"Sampai Kapan Pemuda Bertahan di Pedesaan? Kepemilikan Lahan dan Pilihan Pemuda Untuk Menjadi Petani","type":"article-journal","volume":"2"},"uris":["http://www.mendeley.com/documents/?uuid=8fa7d6fb-161a-49cc-b2a7-4341cf127a20"]},{"id":"ITEM-2","itemData":{"ISBN":"9788578110796","ISSN":"1098-6596","PMID":"25246403","abstract":"Predicting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w:instrText>
      </w:r>
      <w:r>
        <w:rPr>
          <w:rFonts w:hint="eastAsia" w:ascii="Times New Roman" w:hAnsi="Times New Roman" w:eastAsia="SimSun" w:cs="Times New Roman"/>
          <w:color w:val="000000" w:themeColor="text1"/>
        </w:rPr>
        <w:instrText xml:space="preserve">licit solvent MM- GBSA calculations. Using the best RMSD among the top 10 scoring poses as a metric, the success rate (RMSD ≤ 2.0 Å for the interface backbone atoms) increased from 21% with default Glide SP settings to 58% with the enhanced peptide sampli</w:instrText>
      </w:r>
      <w:r>
        <w:rPr>
          <w:rFonts w:ascii="Times New Roman" w:hAnsi="Times New Roman" w:eastAsia="SimSun" w:cs="Times New Roman"/>
          <w:color w:val="000000" w:themeColor="text1"/>
        </w:rPr>
        <w:instrText xml:space="preserve">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nugraha","given":"Yogaprasta","non-dropping-particle":"","parse-names":false,"suffix":""},{"dropping-particle":"","family":"RM","given":"Siregar","non-dropping-particle":"","parse-names":false,"suffix":""},{"dropping-particle":"","family":"D","given":"Valdiani","non-dropping-particle":"","parse-names":false,"suffix":""}],"container-title":"Jurnal Penelitian Sosial Ilmu Komunikasi","id":"ITEM-2","issue":"1","issued":{"date-parts":[["2017"]]},"page":"1689-1699","title":"Peran Orang Tua Dalam Mendekonstruksi Nilai Pertanian di Mata Pemuda Pedesaan","type":"article-journal","volume":"1"},"uris":["http://www.mendeley.com/documents/?uuid=69b7d69c-89a2-4112-b1c8-58f21fe2f16e"]}],"mendeley":{"formattedCitation":"(Adinugraha et al., 2017; Pujiriyani et al., 2016)","plainTextFormattedCitation":"(Adinugraha et al., 2017; Pujiriyani et al., 2016)","previouslyFormattedCitation":"[5], [21]"},"properties":{"noteIndex":0},"schema":"https://github.com/citation-style-language/schema/raw/master/csl-citation.json"}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(Adinugraha et al., 2017; Pujiriyani et al., 2016)</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 xml:space="preserve">. This suggests that the socialization of agricultural introduction since childhood, as well as family traditions, are determining variables for young farmers' retention in the agricultural sector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{"citationItems":[{"id":"ITEM-1","itemData":{"DOI":"10.7160/aol.2018.100409","ISSN":"18041930","abstract":"Ensuring the generation renewal in the agriculture is crucial. There are policy incentives to attract young people, but the motivation to enter the sector depend on many factors and there are also barriers. The aim of the paper is to assess the motivation and barriers of the young farmers, newcomers to the agrarian sector in the Czech Republic and to draft the conclusions for policy and incentives creation. Based on answers of 510 young farmers, the main motive to enter was the wish to continue with farming on the farm of the parents or other relatives and to work in nature and with animals. The hardest was to purchase the agricultural land, administrative burden and ensuring the finances for the development and for start-up. Hence, to facilitate the start-up it is useful to support the land purchase and provide investment subsidies. The research was financed from internal research project 1113/2018.","author":[{"dropping-particle":"","family":"Pechrová","given":"Marie Šimpachová","non-dropping-particle":"","parse-names":false,"suffix":""},{"dropping-particle":"","family":"Šimpach","given":"Ondřej","non-dropping-particle":"","parse-names":false,"suffix":""},{"dropping-particle":"","family":"Medonos","given":"Tomáš","non-dropping-particle":"","parse-names":false,"suffix":""},{"dropping-particle":"","family":"Spěšná","given":"Daniela","non-dropping-particle":"","parse-names":false,"suffix":""},{"dropping-particle":"","family":"Delín","given":"Miloslav","non-dropping-particle":"","parse-names":false,"suffix":""}],"container-title":"Agris On-line Papers in Economics and Informatics","id":"ITEM-1","issue":"4","issued":{"date-parts":[["2018"]]},"page":"79-87","title":"What are the motivation and barriers of young farmers to enter the sector?","type":"article-journal","volume":"10"},"uris":["http://www.mendeley.com/documents/?uuid=2710929a-c280-46d6-8784-cebf80d7b232"]},{"id":"ITEM-2","itemData":{"DOI":"10.1016/j.landusepol.2018.12.019","ISSN":"02648377","abstract":"The number of young farmers has decreased over recent decades in several developed countries such as the United States and European countries. A recent strategy adopted by the European Union to address the resulting age imbalance is the Young Farmer Payment which provides an additional payment on top of the average basic payment introduced in the last Common Agricultural Policy reform. The objective of this study is to determine, by means of a behavioural approach, how this payment influenced the incentives of young farmers to stay in the farm. Using the endogenous succession cycle model and the structural modelling technique, we found that the payment affected young farmers’ willingness to stay through its influence on non-economic motivational goals. However, we also found that there are other factors that can be even more influential, such as pessimism about farming, community and family integration, participation in decision making, and the opinion of neighbours, among others. Based on the results, we argue that similar policies could be adopted in other countries, although policies would be more effective in addressing age imbalances if they are accompanied with complementary strategies aimed to deal with the identified social and psychological considerations.","author":[{"dropping-particle":"","family":"May","given":"Daniel","non-dropping-particle":"","parse-names":false,"suffix":""},{"dropping-particle":"","family":"Arancibia","given":"Sara","non-dropping-particle":"","parse-names":false,"suffix":""},{"dropping-particle":"","family":"Behrendt","given":"Karl","non-dropping-particle":"","parse-names":false,"suffix":""},{"dropping-particle":"","family":"Adams","given":"John","non-dropping-particle":"","parse-names":false,"suffix":""}],"container-title":"Land Use Policy","id":"ITEM-2","issue":"December 2018","issued":{"date-parts":[["2019"]]},"page":"317-327","publisher":"Elsevier","title":"Preventing young farmers from leaving the farm: Investigating the effectiveness of the young farmer payment using a behavioural approach","type":"article-journal","volume":"82"},"uris":["http://www.mendeley.com/documents/?uuid=76aa93c5-f7de-46a3-9ebc-70ad7c68fa51"]}],"mendeley":{"formattedCitation":"(May et al., 2019; Pechrová et al., 2018)","plainTextFormattedCitation":"(May et al., 2019; Pechrová et al., 2018)","previouslyFormattedCitation":"[1], [22]"},"properties":{"noteIndex":0},"schema":"https://github.com/citation-style-language/schema/raw/master/csl-citation.json"}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(May et al., 2019; Pechrová et al., 2018)</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 xml:space="preserve">. Similarly, access to off-farm labor can increase income, which influences young farmers' willingness to persist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{"citationItems":[{"id":"ITEM-1","itemData":{"DOI":"10.7160/aol.2023.150204","ISSN":"18041930","abstract":"Young farmers have an important role as the future of food security and sustainable agriculture depends on them. However, the young farmer problem is getting serious all over the world, whether the countries are developed or developing. The objective of this study is to determine the factors that affect the willingness of young farmers to continue agriculture in the future, especially based on social and cultural factors with economic factors. Data were collected from 200 young farmers' questionnaires in İzmir, Turkey, and Niigata, Japan. Using the logistic regression model, we found that social factors play an important role in retaining young farmers in agriculture such as the respectability and importance of farming, and the multifunctional role of farming, along with economic factors such as off-farm job, farmland size, and subsidies. If countries can clarify the importance of farming and food production to young generations, they will make essential contributions to the sustainability of food security and agricultural sustainability.","author":[{"dropping-particle":"","family":"Karahan","given":"Mizgin","non-dropping-particle":"","parse-names":false,"suffix":""},{"dropping-particle":"","family":"Abay","given":"Canan","non-dropping-particle":"","parse-names":false,"suffix":""},{"dropping-particle":"","family":"Ito","given":"Ryoji","non-dropping-particle":"","parse-names":false,"suffix":""}],"container-title":"Agris On-line Papers in Economics and Informatics","id":"ITEM-1","issue":"2","issued":{"date-parts":[["2023"]]},"page":"41-54","title":"Determining Factors of Retaining Young Farmers in Agriculture: A Case study in Turkey and Japan","type":"article","volume":"15"},"uris":["http://www.mendeley.com/documents/?uuid=34bb7a5c-9ff5-4803-950d-0319296799a1"]}],"mendeley":{"formattedCitation":"(Karahan et al., 2023)","plainTextFormattedCitation":"(Karahan et al., 2023)","previouslyFormattedCitation":"[2]"},"properties":{"noteIndex":0},"schema":"https://github.com/citation-style-language/schema/raw/master/csl-citation.json"}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(Karahan et al.,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This is because off-farm income helps mitigate the risk of variability provided by the agricultural sector, as well as expand and promote agricultural performance success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{"citationItems":[{"id":"ITEM-1","itemData":{"ISSN":"0950-382X","PMID":"15752193","abstract":"In Halobacterium salinarum mutants containing either of the light-driven ion pumps bacteriorhodopsin (H(+)) or halorhodopsin (Cl(-)) as their only retinal protein, a decrease of irradiance in the absence of respiration causes a phototactic response. The conversion of the causal event, a decrease of proton motive force across the cell membrane, into a reversal of flagellar motor rotational direction was expected to involve a transducer. Via deletion analysis of all 18 known and putative halobacterial transducer (htr) genes, we found that Htr14, a methylatable membrane-bound transducer lacking an extracellular domain, mediates the biological response, which includes adaptive methylation. Based on a minimal stimulus length of 200 ms and the determined cytoplasmic buffering capacity, we conclude that the change in the membrane potential (DeltaPsi), and not that of the internal pH, is the signal-generating event. Htr14 was therefore renamed to Membrane potential change Transducer, or MpcT. It is the first transducer for which the causative stimulus could be narrowed to a change in DeltaPsi, as opposed to a change in pH or cellular redox state.","author":[{"dropping-particle":"","family":"Bubela","given":"Heidi J","non-dropping-particle":"","parse-names":false,"suffix":""}],"container-title":"Agricultural &amp; Applied Economics Association","id":"ITEM-1","issue":"3","issued":{"date-parts":[["2016"]]},"page":"1-8","title":"Off-farm Income : Managing Risk in Young and Beginning Farmer Households","type":"article-journal","volume":"31"},"uris":["http://www.mendeley.com/documents/?uuid=3e8288c1-f065-4064-b8b7-ebc624020cd4"]}],"mendeley":{"formattedCitation":"(Bubela, 2016)","plainTextFormattedCitation":"(Bubela, 2016)","previouslyFormattedCitation":"[23]"},"properties":{"noteIndex":0},"schema":"https://github.com/citation-style-language/schema/raw/master/csl-citation.json"}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(Bubela, 2016)</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p>
    <w:p w14:paraId="12AEA977">
      <w:pPr>
        <w:autoSpaceDE w:val="0"/>
        <w:autoSpaceDN w:val="0"/>
        <w:adjustRightInd w:val="0"/>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About the subject of the farmer regeneration crisis in Rasau Jaya, the site of this study, the village on the outskirts of the city, provides various opportunities for non-agricultural jobs, which is sometimes an impediment to becoming a farmer. The problem of regeneration in this location is interesting to investigate further in terms of factors such as inherited land, family farming history, access to non-agricultural work, variations in education levels, increased exposure to modern urban culture, and high negative stereotypes. Based on this concept, this study intends to investigate the factors that influence young farmers' willingness to persist in the agricultural industry, particularly in suburban areas. </w:t>
      </w:r>
    </w:p>
    <w:p w14:paraId="3B20A2C1">
      <w:pPr>
        <w:pStyle w:val="16"/>
        <w:spacing w:after="80" w:line="240" w:lineRule="exact"/>
        <w:jc w:val="both"/>
        <w:rPr>
          <w:sz w:val="22"/>
          <w:szCs w:val="22"/>
        </w:rPr>
      </w:pPr>
    </w:p>
    <w:p w14:paraId="6E10AA84">
      <w:pPr>
        <w:pStyle w:val="16"/>
        <w:spacing w:after="80" w:line="240" w:lineRule="exact"/>
        <w:jc w:val="center"/>
        <w:rPr>
          <w:sz w:val="22"/>
          <w:szCs w:val="22"/>
        </w:rPr>
      </w:pPr>
      <w:r>
        <w:rPr>
          <w:b/>
          <w:bCs/>
          <w:sz w:val="22"/>
          <w:szCs w:val="22"/>
        </w:rPr>
        <w:t>RESEARCH METHOD</w:t>
      </w:r>
    </w:p>
    <w:p w14:paraId="6C0911C7">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research was carried out in Rasau Jaya District, Kubu Raya Regency, West Kalimantan Province. It includes four villages: Rasau Jaya 1, Rasau Jaya 2, Rasau Jaya 3, and Bintang Mas. This site is around 30-40 kilometers from Pontianak City, the seat of West Kalimantan Province. This study takes place in a specific sort of agroecosystem: peatland farming, which is a type of wetland found in coastal areas. The research location was chosen because it is a major agricultural area, with the majority of the people employed as farmers. In this study, data was collected through structured interviews with respondents who had been purposely chosen. This approach is believed to be able to represent the condition of young farmers in the research location because the number of young farmers in this location is very small. According to national data from the 2023 population census, the proportion of young farmers aged 18 to 40 is just about 21%. Field investigations revealed that there were only 47 young farmers at the research site. </w:t>
      </w:r>
    </w:p>
    <w:p w14:paraId="32FBF289">
      <w:pPr>
        <w:spacing w:after="80" w:line="240" w:lineRule="auto"/>
        <w:jc w:val="both"/>
        <w:rPr>
          <w:rFonts w:ascii="Times New Roman" w:hAnsi="Times New Roman" w:cs="Times New Roman"/>
          <w:color w:val="000000" w:themeColor="text1"/>
        </w:rPr>
      </w:pPr>
      <m:oMathPara>
        <m:oMath>
          <m:r>
            <m:rPr/>
            <w:rPr>
              <w:rFonts w:ascii="Cambria Math" w:hAnsi="Cambria Math" w:cs="Times New Roman"/>
              <w:color w:val="000000" w:themeColor="text1"/>
            </w:rPr>
            <m:t>Y=</m:t>
          </m:r>
          <m:d>
            <m:dPr>
              <m:begChr m:val="{"/>
              <m:endChr m:val="}"/>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m:rPr/>
                        <w:rPr>
                          <w:rFonts w:ascii="Cambria Math" w:hAnsi="Cambria Math" w:cs="Times New Roman"/>
                          <w:color w:val="000000" w:themeColor="text1"/>
                        </w:rPr>
                        <m:t>y</m:t>
                      </m:r>
                      <m:ctrlPr>
                        <w:rPr>
                          <w:rFonts w:ascii="Cambria Math" w:hAnsi="Cambria Math" w:cs="Times New Roman"/>
                          <w:i/>
                          <w:color w:val="000000" w:themeColor="text1"/>
                        </w:rPr>
                      </m:ctrlPr>
                    </m:e>
                    <m:sub>
                      <m:r>
                        <m:rPr/>
                        <w:rPr>
                          <w:rFonts w:ascii="Cambria Math" w:hAnsi="Cambria Math" w:cs="Times New Roman"/>
                          <w:color w:val="000000" w:themeColor="text1"/>
                        </w:rPr>
                        <m:t>i</m:t>
                      </m:r>
                      <m:ctrlPr>
                        <w:rPr>
                          <w:rFonts w:ascii="Cambria Math" w:hAnsi="Cambria Math" w:cs="Times New Roman"/>
                          <w:i/>
                          <w:color w:val="000000" w:themeColor="text1"/>
                        </w:rPr>
                      </m:ctrlPr>
                    </m:sub>
                  </m:sSub>
                  <m:ctrlPr>
                    <w:rPr>
                      <w:rFonts w:ascii="Cambria Math" w:hAnsi="Cambria Math" w:cs="Times New Roman"/>
                      <w:i/>
                      <w:color w:val="000000" w:themeColor="text1"/>
                    </w:rPr>
                  </m:ctrlPr>
                </m:num>
                <m:den>
                  <m:r>
                    <m:rPr/>
                    <w:rPr>
                      <w:rFonts w:ascii="Cambria Math" w:hAnsi="Cambria Math" w:cs="Times New Roman"/>
                      <w:color w:val="000000" w:themeColor="text1"/>
                    </w:rPr>
                    <m:t>1−y</m:t>
                  </m:r>
                  <m:ctrlPr>
                    <w:rPr>
                      <w:rFonts w:ascii="Cambria Math" w:hAnsi="Cambria Math" w:cs="Times New Roman"/>
                      <w:i/>
                      <w:color w:val="000000" w:themeColor="text1"/>
                    </w:rPr>
                  </m:ctrlPr>
                </m:den>
              </m:f>
              <m:ctrlPr>
                <w:rPr>
                  <w:rFonts w:ascii="Cambria Math" w:hAnsi="Cambria Math" w:cs="Times New Roman"/>
                  <w:i/>
                  <w:color w:val="000000" w:themeColor="text1"/>
                </w:rPr>
              </m:ctrlPr>
            </m:e>
          </m:d>
          <m:r>
            <m:rPr/>
            <w:rPr>
              <w:rFonts w:ascii="Cambria Math" w:hAnsi="Cambria Math" w:cs="Times New Roman"/>
              <w:color w:val="000000" w:themeColor="text1"/>
            </w:rPr>
            <m:t>=α+</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1</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1</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2</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2</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3</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3</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4</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4</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5</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5</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6</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6</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7</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7</m:t>
              </m:r>
              <m:ctrlPr>
                <w:rPr>
                  <w:rFonts w:ascii="Cambria Math" w:hAnsi="Cambria Math" w:cs="Times New Roman"/>
                  <w:i/>
                  <w:color w:val="000000" w:themeColor="text1"/>
                </w:rPr>
              </m:ctrlPr>
            </m:sub>
          </m:sSub>
          <m:r>
            <m:rPr/>
            <w:rPr>
              <w:rFonts w:ascii="Cambria Math" w:hAnsi="Cambria Math" w:cs="Times New Roman"/>
              <w:color w:val="000000" w:themeColor="text1"/>
            </w:rPr>
            <m:t>+</m:t>
          </m:r>
          <m:sSub>
            <m:sSubPr>
              <m:ctrlPr>
                <w:rPr>
                  <w:rFonts w:ascii="Cambria Math" w:hAnsi="Cambria Math" w:cs="Times New Roman"/>
                  <w:i/>
                  <w:color w:val="000000" w:themeColor="text1"/>
                </w:rPr>
              </m:ctrlPr>
            </m:sSubPr>
            <m:e>
              <m:r>
                <m:rPr/>
                <w:rPr>
                  <w:rFonts w:ascii="Cambria Math" w:hAnsi="Cambria Math" w:cs="Times New Roman"/>
                  <w:color w:val="000000" w:themeColor="text1"/>
                </w:rPr>
                <m:t>β</m:t>
              </m:r>
              <m:ctrlPr>
                <w:rPr>
                  <w:rFonts w:ascii="Cambria Math" w:hAnsi="Cambria Math" w:cs="Times New Roman"/>
                  <w:i/>
                  <w:color w:val="000000" w:themeColor="text1"/>
                </w:rPr>
              </m:ctrlPr>
            </m:e>
            <m:sub>
              <m:r>
                <m:rPr/>
                <w:rPr>
                  <w:rFonts w:ascii="Cambria Math" w:hAnsi="Cambria Math" w:cs="Times New Roman"/>
                  <w:color w:val="000000" w:themeColor="text1"/>
                </w:rPr>
                <m:t>8</m:t>
              </m:r>
              <m:ctrlPr>
                <w:rPr>
                  <w:rFonts w:ascii="Cambria Math" w:hAnsi="Cambria Math" w:cs="Times New Roman"/>
                  <w:i/>
                  <w:color w:val="000000" w:themeColor="text1"/>
                </w:rPr>
              </m:ctrlPr>
            </m:sub>
          </m:sSub>
          <m:sSub>
            <m:sSubPr>
              <m:ctrlPr>
                <w:rPr>
                  <w:rFonts w:ascii="Cambria Math" w:hAnsi="Cambria Math" w:cs="Times New Roman"/>
                  <w:i/>
                  <w:color w:val="000000" w:themeColor="text1"/>
                </w:rPr>
              </m:ctrlPr>
            </m:sSubPr>
            <m:e>
              <m:r>
                <m:rPr/>
                <w:rPr>
                  <w:rFonts w:ascii="Cambria Math" w:hAnsi="Cambria Math" w:cs="Times New Roman"/>
                  <w:color w:val="000000" w:themeColor="text1"/>
                </w:rPr>
                <m:t>X</m:t>
              </m:r>
              <m:ctrlPr>
                <w:rPr>
                  <w:rFonts w:ascii="Cambria Math" w:hAnsi="Cambria Math" w:cs="Times New Roman"/>
                  <w:i/>
                  <w:color w:val="000000" w:themeColor="text1"/>
                </w:rPr>
              </m:ctrlPr>
            </m:e>
            <m:sub>
              <m:r>
                <m:rPr/>
                <w:rPr>
                  <w:rFonts w:ascii="Cambria Math" w:hAnsi="Cambria Math" w:cs="Times New Roman"/>
                  <w:color w:val="000000" w:themeColor="text1"/>
                </w:rPr>
                <m:t>8</m:t>
              </m:r>
              <m:ctrlPr>
                <w:rPr>
                  <w:rFonts w:ascii="Cambria Math" w:hAnsi="Cambria Math" w:cs="Times New Roman"/>
                  <w:i/>
                  <w:color w:val="000000" w:themeColor="text1"/>
                </w:rPr>
              </m:ctrlPr>
            </m:sub>
          </m:sSub>
          <m:r>
            <m:rPr/>
            <w:rPr>
              <w:rFonts w:ascii="Cambria Math" w:hAnsi="Cambria Math" w:cs="Times New Roman"/>
              <w:color w:val="000000" w:themeColor="text1"/>
            </w:rPr>
            <m:t>+ε</m:t>
          </m:r>
        </m:oMath>
      </m:oMathPara>
    </w:p>
    <w:p w14:paraId="06943356">
      <w:pPr>
        <w:spacing w:after="8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Logistic regression analysis was used to answer the research objectives, with the variable descriptions listed below: The dependent variable in the model is symbolized by Y; Y = 1 if the farmer states that he wants to stay in farming and even has hopes of developing a more advanced farming business in the future, conversely Y = 0 if the possibility of the farmer wants to resign or leave the farming business because farming is currently a necessity or in the future farming is seen as not having better prospects. The independent variable is symbolized by X, consisting of X</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 xml:space="preserve"> = Education level (years); X</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 Farming experience (years) ; X</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 xml:space="preserve"> = Number of family members (people) ; X</w:t>
      </w:r>
      <w:r>
        <w:rPr>
          <w:rFonts w:ascii="Times New Roman" w:hAnsi="Times New Roman" w:cs="Times New Roman"/>
          <w:color w:val="000000" w:themeColor="text1"/>
          <w:vertAlign w:val="subscript"/>
        </w:rPr>
        <w:t xml:space="preserve">4 </w:t>
      </w:r>
      <w:r>
        <w:rPr>
          <w:rFonts w:ascii="Times New Roman" w:hAnsi="Times New Roman" w:cs="Times New Roman"/>
          <w:color w:val="000000" w:themeColor="text1"/>
        </w:rPr>
        <w:t>= Area of cultivated land (Ha); X</w:t>
      </w:r>
      <w:r>
        <w:rPr>
          <w:rFonts w:ascii="Times New Roman" w:hAnsi="Times New Roman" w:cs="Times New Roman"/>
          <w:color w:val="000000" w:themeColor="text1"/>
          <w:vertAlign w:val="subscript"/>
        </w:rPr>
        <w:t>5</w:t>
      </w:r>
      <w:r>
        <w:rPr>
          <w:rFonts w:ascii="Times New Roman" w:hAnsi="Times New Roman" w:cs="Times New Roman"/>
          <w:color w:val="000000" w:themeColor="text1"/>
        </w:rPr>
        <w:t xml:space="preserve"> = Social environmental support (1= Yes, 0= No); X</w:t>
      </w:r>
      <w:r>
        <w:rPr>
          <w:rFonts w:ascii="Times New Roman" w:hAnsi="Times New Roman" w:cs="Times New Roman"/>
          <w:color w:val="000000" w:themeColor="text1"/>
          <w:vertAlign w:val="subscript"/>
        </w:rPr>
        <w:t>6</w:t>
      </w:r>
      <w:r>
        <w:rPr>
          <w:rFonts w:ascii="Times New Roman" w:hAnsi="Times New Roman" w:cs="Times New Roman"/>
          <w:color w:val="000000" w:themeColor="text1"/>
        </w:rPr>
        <w:t xml:space="preserve"> = Off-farm access (1= Yes, 0= No); X</w:t>
      </w:r>
      <w:r>
        <w:rPr>
          <w:rFonts w:ascii="Times New Roman" w:hAnsi="Times New Roman" w:cs="Times New Roman"/>
          <w:color w:val="000000" w:themeColor="text1"/>
          <w:vertAlign w:val="subscript"/>
        </w:rPr>
        <w:t>7</w:t>
      </w:r>
      <w:r>
        <w:rPr>
          <w:rFonts w:ascii="Times New Roman" w:hAnsi="Times New Roman" w:cs="Times New Roman"/>
          <w:color w:val="000000" w:themeColor="text1"/>
        </w:rPr>
        <w:t>= Social environment support (1=Yes, 0=no); X</w:t>
      </w:r>
      <w:r>
        <w:rPr>
          <w:rFonts w:ascii="Times New Roman" w:hAnsi="Times New Roman" w:cs="Times New Roman"/>
          <w:color w:val="000000" w:themeColor="text1"/>
          <w:vertAlign w:val="subscript"/>
        </w:rPr>
        <w:t>8</w:t>
      </w:r>
      <w:r>
        <w:rPr>
          <w:rFonts w:ascii="Times New Roman" w:hAnsi="Times New Roman" w:cs="Times New Roman"/>
          <w:color w:val="000000" w:themeColor="text1"/>
        </w:rPr>
        <w:t>= Participation in farmer groups (1=Yes, 0=No)</w:t>
      </w:r>
    </w:p>
    <w:p w14:paraId="106A7315">
      <w:pPr>
        <w:pStyle w:val="16"/>
        <w:spacing w:after="80"/>
        <w:jc w:val="both"/>
        <w:rPr>
          <w:sz w:val="22"/>
          <w:szCs w:val="22"/>
          <w:lang w:val="id-ID"/>
        </w:rPr>
      </w:pPr>
    </w:p>
    <w:p w14:paraId="109E07D4">
      <w:pPr>
        <w:pStyle w:val="16"/>
        <w:spacing w:after="80" w:line="240" w:lineRule="exact"/>
        <w:jc w:val="center"/>
        <w:rPr>
          <w:sz w:val="22"/>
          <w:szCs w:val="22"/>
          <w:lang w:val="id-ID"/>
        </w:rPr>
      </w:pPr>
      <w:r>
        <w:rPr>
          <w:b/>
          <w:bCs/>
          <w:sz w:val="22"/>
          <w:szCs w:val="22"/>
        </w:rPr>
        <w:t>RESULT AND DISCUSSION</w:t>
      </w:r>
    </w:p>
    <w:p w14:paraId="0FDAB436">
      <w:pPr>
        <w:spacing w:after="0" w:line="240" w:lineRule="auto"/>
        <w:jc w:val="both"/>
        <w:rPr>
          <w:rFonts w:ascii="Times New Roman" w:hAnsi="Times New Roman" w:eastAsia="SimSun" w:cs="Times New Roman"/>
          <w:b/>
          <w:bCs/>
          <w:color w:val="000000" w:themeColor="text1"/>
        </w:rPr>
      </w:pPr>
      <w:r>
        <w:rPr>
          <w:rFonts w:ascii="Times New Roman" w:hAnsi="Times New Roman" w:eastAsia="SimSun" w:cs="Times New Roman"/>
          <w:b/>
          <w:bCs/>
          <w:color w:val="000000" w:themeColor="text1"/>
        </w:rPr>
        <w:t>Respondent Characteristics</w:t>
      </w:r>
    </w:p>
    <w:p w14:paraId="544034A3">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characteristics of respondents that will be discussed in this study include gender, education level, farming experience, number of family dependents, area of ​​cultivated land, parental inheritance, off-farm access, social environmental support, participation in farmer groups, and the willingness of young farmers to persist as farmers. Table 1 shows this summary. </w:t>
      </w:r>
    </w:p>
    <w:p w14:paraId="3E3033D2">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According to the study's findings, the gender of young farmers is largely male, with 39 people (82.98%) and only 8 women (17%). The majority of young farmers are men who cannot be separated from their family traditions. In accordance with the findings of Cavicchioli et al. (2018) males who are the first born are more likely to inherit the family horticulture farming business. These findings confirm the assumption, which is still prevalent today, that agricultural work in villages is identical to being regarded as a man's job. As a result, women are less likely to choose to work as farmers, even though they are heavily involved in agricultural output.</w:t>
      </w:r>
    </w:p>
    <w:p w14:paraId="5A40DAA0">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level of education in this study is the formal education that young farmers have ever taken. The amount of education of respondents is assumed to influence attitude formation and response in decision-making to stay or leave farming occupations in the future. According to the study's findings, the majority of young farmers in Rasau Jaya Sub District had a high school education (48.94%), while the remainder had completed elementary and junior high school. This demonstrates that the degree of education among young farmers in Rasau Jaya District is relatively high. Farmers with a higher level of education are more likely to adopt innovations, and they are continuously on the lookout for new knowledge to help them grow their businesses. Conversely, low levels of education make it difficult for farmers to adopt new knowledge and technologies, therefore farming is only done conventionally based on their field experience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{"citationItems":[{"id":"ITEM-1","itemData":{"DOI":"10.22146/ae.46439","ISSN":"0215-8787","abstract":"The horticulture subsector occupies a strategic position in the development of Indonesia's agriculture sector. Farmers have an important role in developing agriculture and promoting the agricultural sector in Indonesia. Therefore this paper aims (1) to find out the distribution of characteristics of young farmers in Malang Regency, (2) to know the managerial capacity and empowerment of young farmers in horticultural agriculture in Malang Regency. This research was conducted in five villages in Malang Regency in 2018. These villages were Codo Village, Dampit Village, Punten Village, Gempol Village, and Ngantru Village. The sample is determined by census with a sample size of 195. The analytical method used is descriptive method. Data obtained using interviews through questionnaires. The results showed that the characteristics of young horticultural farmers in Malang Regency were mostly in their 30s and men. The level of education of young horticultural farmers is still low and on average has 9 years of agricultural experience with low land ownership. An intensive policy is needed for young farmers in terms of land ownership. Most farmers have used cellphones or gadgets to carry out agricultural transactions. Most young horticultural farmers in Malang Regency already have good managerial capacity, but in terms of empowerment is still not optimal. The government and farmer groups need to increase their role in supporting the agriculture of young horticultural farmers to be more developed so that young farmers in Malang Regency do not leave their jobs in the agricultural sector..","author":[{"dropping-particle":"","family":"Arvianti","given":"Eri Yusnita","non-dropping-particle":"","parse-names":false,"suffix":""},{"dropping-particle":"","family":"Masyhuri","given":"Masyhuri","non-dropping-particle":"","parse-names":false,"suffix":""},{"dropping-particle":"","family":"Waluyati","given":"Lestari Rahayu","non-dropping-particle":"","parse-names":false,"suffix":""},{"dropping-particle":"","family":"Darwanto","given":"Dwidjono Hadi","non-dropping-particle":"","parse-names":false,"suffix":""}],"container-title":"Agro Ekonomi","id":"ITEM-1","issue":"2","issued":{"date-parts":[["2019"]]},"title":"Characteristics of Young Horticultural Farmers in Malang Regency","type":"article-journal","volume":"30"},"uris":["http://www.mendeley.com/documents/?uuid=f89de024-e34a-43f2-b84b-25f04894c51e"]}],"mendeley":{"formattedCitation":"(Arvianti et al., 2019)","plainTextFormattedCitation":"(Arvianti et al., 2019)","previouslyFormattedCitation":"[15]"},"properties":{"noteIndex":0},"schema":"https://github.com/citation-style-language/schema/raw/master/csl-citation.json"}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(Arvianti et al., 2019)</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p>
    <w:p w14:paraId="05101614">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average number of family dependents is &gt;2-4 people (76.8%), while the remaining 23.40% have fewer than 2 dependents. This means that the majority of young farmers live in small families with 2-3 children. The number of dependents will be proportional to the willingness to persist in the agriculture sector. The more dependents young farmers have, the easier it is to transition into non-agricultural employment. This is due to restricted land, which has ramifications for poor farm revenue, resulting in many young farmers who will easily shift professions if they have the opportunity to work in a field other than agriculture that pays more. </w:t>
      </w:r>
    </w:p>
    <w:p w14:paraId="552BAA99">
      <w:pPr>
        <w:spacing w:after="80" w:line="240" w:lineRule="auto"/>
        <w:ind w:firstLine="567"/>
        <w:jc w:val="both"/>
        <w:rPr>
          <w:rFonts w:ascii="Times New Roman" w:hAnsi="Times New Roman" w:eastAsia="SimSun" w:cs="Times New Roman"/>
          <w:color w:val="000000" w:themeColor="text1"/>
        </w:rPr>
      </w:pPr>
      <w:r>
        <w:rPr>
          <w:rFonts w:ascii="Times New Roman" w:hAnsi="Times New Roman" w:eastAsia="SimSun" w:cs="Times New Roman"/>
          <w:color w:val="000000" w:themeColor="text1"/>
        </w:rPr>
        <w:t>Farming experience in this study refers to running an agricultural enterprise. Farming experience influences the desire of young farmers to stay in agriculture. Farmers' knowledge and ability to tackle diverse agricultural issues improve as they gain more experience. Farming experience can impact farmers' decisions about agricultural development and improve their desire to stay in the agricultural business. According to the study's findings, 63.83% of young farmers have more than 5 years of farming experience, while 31% have 3-5 years of farming experience and the other 4% have only 1-2 years. These results indicate that farming experience has been long because on average they are children of farmers who have learned about farming from their parents since childhood.</w:t>
      </w:r>
    </w:p>
    <w:p w14:paraId="073C854E">
      <w:pPr>
        <w:spacing w:after="0" w:line="240" w:lineRule="auto"/>
        <w:jc w:val="center"/>
        <w:rPr>
          <w:rFonts w:ascii="Times New Roman" w:hAnsi="Times New Roman" w:eastAsia="Calibri" w:cs="Times New Roman"/>
        </w:rPr>
      </w:pPr>
      <w:r>
        <w:rPr>
          <w:rFonts w:ascii="Times New Roman" w:hAnsi="Times New Roman" w:eastAsia="Calibri" w:cs="Times New Roman"/>
        </w:rPr>
        <w:t>Table 1. Characteristics of Farming Business</w:t>
      </w:r>
    </w:p>
    <w:tbl>
      <w:tblPr>
        <w:tblStyle w:val="6"/>
        <w:tblW w:w="7815" w:type="dxa"/>
        <w:jc w:val="center"/>
        <w:tblLayout w:type="autofit"/>
        <w:tblCellMar>
          <w:top w:w="0" w:type="dxa"/>
          <w:left w:w="108" w:type="dxa"/>
          <w:bottom w:w="0" w:type="dxa"/>
          <w:right w:w="108" w:type="dxa"/>
        </w:tblCellMar>
      </w:tblPr>
      <w:tblGrid>
        <w:gridCol w:w="3500"/>
        <w:gridCol w:w="1820"/>
        <w:gridCol w:w="1075"/>
        <w:gridCol w:w="1420"/>
      </w:tblGrid>
      <w:tr w14:paraId="4AC21E22">
        <w:tblPrEx>
          <w:tblCellMar>
            <w:top w:w="0" w:type="dxa"/>
            <w:left w:w="108" w:type="dxa"/>
            <w:bottom w:w="0" w:type="dxa"/>
            <w:right w:w="108" w:type="dxa"/>
          </w:tblCellMar>
        </w:tblPrEx>
        <w:trPr>
          <w:trHeight w:val="290" w:hRule="atLeast"/>
          <w:jc w:val="center"/>
        </w:trPr>
        <w:tc>
          <w:tcPr>
            <w:tcW w:w="3500" w:type="dxa"/>
            <w:tcBorders>
              <w:top w:val="single" w:color="auto" w:sz="4" w:space="0"/>
              <w:left w:val="nil"/>
              <w:bottom w:val="single" w:color="auto" w:sz="4" w:space="0"/>
              <w:right w:val="nil"/>
            </w:tcBorders>
            <w:shd w:val="clear" w:color="auto" w:fill="auto"/>
            <w:noWrap/>
            <w:vAlign w:val="bottom"/>
          </w:tcPr>
          <w:p w14:paraId="37D2AD05">
            <w:pPr>
              <w:spacing w:after="0" w:line="240" w:lineRule="auto"/>
              <w:jc w:val="both"/>
              <w:rPr>
                <w:rFonts w:ascii="Times New Roman" w:hAnsi="Times New Roman" w:eastAsia="Calibri" w:cs="Times New Roman"/>
                <w:sz w:val="20"/>
                <w:szCs w:val="20"/>
              </w:rPr>
            </w:pPr>
            <w:bookmarkStart w:id="1" w:name="_Hlk179151793"/>
            <w:r>
              <w:rPr>
                <w:rFonts w:ascii="Times New Roman" w:hAnsi="Times New Roman" w:eastAsia="Calibri" w:cs="Times New Roman"/>
                <w:sz w:val="20"/>
                <w:szCs w:val="20"/>
              </w:rPr>
              <w:t>Variable</w:t>
            </w:r>
          </w:p>
        </w:tc>
        <w:tc>
          <w:tcPr>
            <w:tcW w:w="1820" w:type="dxa"/>
            <w:tcBorders>
              <w:top w:val="single" w:color="auto" w:sz="4" w:space="0"/>
              <w:left w:val="nil"/>
              <w:bottom w:val="single" w:color="auto" w:sz="4" w:space="0"/>
              <w:right w:val="nil"/>
            </w:tcBorders>
            <w:shd w:val="clear" w:color="auto" w:fill="auto"/>
            <w:noWrap/>
            <w:vAlign w:val="bottom"/>
          </w:tcPr>
          <w:p w14:paraId="28446EB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Category</w:t>
            </w:r>
          </w:p>
        </w:tc>
        <w:tc>
          <w:tcPr>
            <w:tcW w:w="1075" w:type="dxa"/>
            <w:tcBorders>
              <w:top w:val="single" w:color="auto" w:sz="4" w:space="0"/>
              <w:left w:val="nil"/>
              <w:bottom w:val="single" w:color="auto" w:sz="4" w:space="0"/>
              <w:right w:val="nil"/>
            </w:tcBorders>
            <w:shd w:val="clear" w:color="auto" w:fill="auto"/>
            <w:noWrap/>
            <w:vAlign w:val="bottom"/>
          </w:tcPr>
          <w:p w14:paraId="64570F8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Frequency</w:t>
            </w:r>
          </w:p>
        </w:tc>
        <w:tc>
          <w:tcPr>
            <w:tcW w:w="1420" w:type="dxa"/>
            <w:tcBorders>
              <w:top w:val="single" w:color="auto" w:sz="4" w:space="0"/>
              <w:left w:val="nil"/>
              <w:bottom w:val="single" w:color="auto" w:sz="4" w:space="0"/>
              <w:right w:val="nil"/>
            </w:tcBorders>
            <w:shd w:val="clear" w:color="auto" w:fill="auto"/>
            <w:noWrap/>
            <w:vAlign w:val="bottom"/>
          </w:tcPr>
          <w:p w14:paraId="7AFCAE9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Percentage</w:t>
            </w:r>
          </w:p>
        </w:tc>
      </w:tr>
      <w:tr w14:paraId="31A1FB2B">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140AEB6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Gender</w:t>
            </w:r>
          </w:p>
        </w:tc>
        <w:tc>
          <w:tcPr>
            <w:tcW w:w="1820" w:type="dxa"/>
            <w:tcBorders>
              <w:top w:val="nil"/>
              <w:left w:val="nil"/>
              <w:bottom w:val="nil"/>
              <w:right w:val="nil"/>
            </w:tcBorders>
            <w:shd w:val="clear" w:color="auto" w:fill="auto"/>
            <w:noWrap/>
            <w:vAlign w:val="bottom"/>
          </w:tcPr>
          <w:p w14:paraId="01F4805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Male</w:t>
            </w:r>
          </w:p>
        </w:tc>
        <w:tc>
          <w:tcPr>
            <w:tcW w:w="1075" w:type="dxa"/>
            <w:tcBorders>
              <w:top w:val="nil"/>
              <w:left w:val="nil"/>
              <w:bottom w:val="nil"/>
              <w:right w:val="nil"/>
            </w:tcBorders>
            <w:shd w:val="clear" w:color="auto" w:fill="auto"/>
            <w:noWrap/>
            <w:vAlign w:val="bottom"/>
          </w:tcPr>
          <w:p w14:paraId="1BED5C5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39</w:t>
            </w:r>
          </w:p>
        </w:tc>
        <w:tc>
          <w:tcPr>
            <w:tcW w:w="1420" w:type="dxa"/>
            <w:tcBorders>
              <w:top w:val="nil"/>
              <w:left w:val="nil"/>
              <w:bottom w:val="nil"/>
              <w:right w:val="nil"/>
            </w:tcBorders>
            <w:shd w:val="clear" w:color="auto" w:fill="auto"/>
            <w:noWrap/>
            <w:vAlign w:val="bottom"/>
          </w:tcPr>
          <w:p w14:paraId="7BFCF07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82.98 </w:t>
            </w:r>
          </w:p>
        </w:tc>
      </w:tr>
      <w:tr w14:paraId="7B526152">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E2D76DD">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2135D8C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Female</w:t>
            </w:r>
          </w:p>
        </w:tc>
        <w:tc>
          <w:tcPr>
            <w:tcW w:w="1075" w:type="dxa"/>
            <w:tcBorders>
              <w:top w:val="nil"/>
              <w:left w:val="nil"/>
              <w:bottom w:val="nil"/>
              <w:right w:val="nil"/>
            </w:tcBorders>
            <w:shd w:val="clear" w:color="auto" w:fill="auto"/>
            <w:noWrap/>
            <w:vAlign w:val="bottom"/>
          </w:tcPr>
          <w:p w14:paraId="29C8F6C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8</w:t>
            </w:r>
          </w:p>
        </w:tc>
        <w:tc>
          <w:tcPr>
            <w:tcW w:w="1420" w:type="dxa"/>
            <w:tcBorders>
              <w:top w:val="nil"/>
              <w:left w:val="nil"/>
              <w:bottom w:val="nil"/>
              <w:right w:val="nil"/>
            </w:tcBorders>
            <w:shd w:val="clear" w:color="auto" w:fill="auto"/>
            <w:noWrap/>
            <w:vAlign w:val="bottom"/>
          </w:tcPr>
          <w:p w14:paraId="1DAFC62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17.02 </w:t>
            </w:r>
          </w:p>
        </w:tc>
      </w:tr>
      <w:tr w14:paraId="69FD79E0">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26C70BD">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352DD682">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3A8AF685">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00201620">
            <w:pPr>
              <w:spacing w:after="0" w:line="240" w:lineRule="auto"/>
              <w:jc w:val="both"/>
              <w:rPr>
                <w:rFonts w:ascii="Times New Roman" w:hAnsi="Times New Roman" w:eastAsia="Calibri" w:cs="Times New Roman"/>
                <w:sz w:val="20"/>
                <w:szCs w:val="20"/>
              </w:rPr>
            </w:pPr>
          </w:p>
        </w:tc>
      </w:tr>
      <w:tr w14:paraId="16A2C808">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3C3985A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Education</w:t>
            </w:r>
          </w:p>
        </w:tc>
        <w:tc>
          <w:tcPr>
            <w:tcW w:w="1820" w:type="dxa"/>
            <w:tcBorders>
              <w:top w:val="nil"/>
              <w:left w:val="nil"/>
              <w:bottom w:val="nil"/>
              <w:right w:val="nil"/>
            </w:tcBorders>
            <w:shd w:val="clear" w:color="auto" w:fill="auto"/>
            <w:noWrap/>
            <w:vAlign w:val="bottom"/>
          </w:tcPr>
          <w:p w14:paraId="05CA3D6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Not Graduated from Elementary School</w:t>
            </w:r>
          </w:p>
        </w:tc>
        <w:tc>
          <w:tcPr>
            <w:tcW w:w="1075" w:type="dxa"/>
            <w:tcBorders>
              <w:top w:val="nil"/>
              <w:left w:val="nil"/>
              <w:bottom w:val="nil"/>
              <w:right w:val="nil"/>
            </w:tcBorders>
            <w:shd w:val="clear" w:color="auto" w:fill="auto"/>
            <w:noWrap/>
            <w:vAlign w:val="bottom"/>
          </w:tcPr>
          <w:p w14:paraId="3AA16B8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420" w:type="dxa"/>
            <w:tcBorders>
              <w:top w:val="nil"/>
              <w:left w:val="nil"/>
              <w:bottom w:val="nil"/>
              <w:right w:val="nil"/>
            </w:tcBorders>
            <w:shd w:val="clear" w:color="auto" w:fill="auto"/>
            <w:noWrap/>
            <w:vAlign w:val="bottom"/>
          </w:tcPr>
          <w:p w14:paraId="5DA8251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4.26 </w:t>
            </w:r>
          </w:p>
        </w:tc>
      </w:tr>
      <w:tr w14:paraId="6F1E184F">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DE09FFD">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2D6698E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Elementary School</w:t>
            </w:r>
          </w:p>
        </w:tc>
        <w:tc>
          <w:tcPr>
            <w:tcW w:w="1075" w:type="dxa"/>
            <w:tcBorders>
              <w:top w:val="nil"/>
              <w:left w:val="nil"/>
              <w:bottom w:val="nil"/>
              <w:right w:val="nil"/>
            </w:tcBorders>
            <w:shd w:val="clear" w:color="auto" w:fill="auto"/>
            <w:noWrap/>
            <w:vAlign w:val="bottom"/>
          </w:tcPr>
          <w:p w14:paraId="5403E63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7</w:t>
            </w:r>
          </w:p>
        </w:tc>
        <w:tc>
          <w:tcPr>
            <w:tcW w:w="1420" w:type="dxa"/>
            <w:tcBorders>
              <w:top w:val="nil"/>
              <w:left w:val="nil"/>
              <w:bottom w:val="nil"/>
              <w:right w:val="nil"/>
            </w:tcBorders>
            <w:shd w:val="clear" w:color="auto" w:fill="auto"/>
            <w:noWrap/>
            <w:vAlign w:val="bottom"/>
          </w:tcPr>
          <w:p w14:paraId="34A3130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14.89 </w:t>
            </w:r>
          </w:p>
        </w:tc>
      </w:tr>
      <w:tr w14:paraId="5DBA5556">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09778F2">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7E07CBA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JHS</w:t>
            </w:r>
          </w:p>
        </w:tc>
        <w:tc>
          <w:tcPr>
            <w:tcW w:w="1075" w:type="dxa"/>
            <w:tcBorders>
              <w:top w:val="nil"/>
              <w:left w:val="nil"/>
              <w:bottom w:val="nil"/>
              <w:right w:val="nil"/>
            </w:tcBorders>
            <w:shd w:val="clear" w:color="auto" w:fill="auto"/>
            <w:noWrap/>
            <w:vAlign w:val="bottom"/>
          </w:tcPr>
          <w:p w14:paraId="0C1BD91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14</w:t>
            </w:r>
          </w:p>
        </w:tc>
        <w:tc>
          <w:tcPr>
            <w:tcW w:w="1420" w:type="dxa"/>
            <w:tcBorders>
              <w:top w:val="nil"/>
              <w:left w:val="nil"/>
              <w:bottom w:val="nil"/>
              <w:right w:val="nil"/>
            </w:tcBorders>
            <w:shd w:val="clear" w:color="auto" w:fill="auto"/>
            <w:noWrap/>
            <w:vAlign w:val="bottom"/>
          </w:tcPr>
          <w:p w14:paraId="2364666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29.79 </w:t>
            </w:r>
          </w:p>
        </w:tc>
      </w:tr>
      <w:tr w14:paraId="517274D9">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5068BA1B">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5CB86CE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SHS</w:t>
            </w:r>
          </w:p>
        </w:tc>
        <w:tc>
          <w:tcPr>
            <w:tcW w:w="1075" w:type="dxa"/>
            <w:tcBorders>
              <w:top w:val="nil"/>
              <w:left w:val="nil"/>
              <w:bottom w:val="nil"/>
              <w:right w:val="nil"/>
            </w:tcBorders>
            <w:shd w:val="clear" w:color="auto" w:fill="auto"/>
            <w:noWrap/>
            <w:vAlign w:val="bottom"/>
          </w:tcPr>
          <w:p w14:paraId="2A37DF7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23</w:t>
            </w:r>
          </w:p>
        </w:tc>
        <w:tc>
          <w:tcPr>
            <w:tcW w:w="1420" w:type="dxa"/>
            <w:tcBorders>
              <w:top w:val="nil"/>
              <w:left w:val="nil"/>
              <w:bottom w:val="nil"/>
              <w:right w:val="nil"/>
            </w:tcBorders>
            <w:shd w:val="clear" w:color="auto" w:fill="auto"/>
            <w:noWrap/>
            <w:vAlign w:val="bottom"/>
          </w:tcPr>
          <w:p w14:paraId="3C84E5D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48.94 </w:t>
            </w:r>
          </w:p>
        </w:tc>
      </w:tr>
      <w:tr w14:paraId="79D3B6BB">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EF97975">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33B5421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College/DIPLOMA</w:t>
            </w:r>
          </w:p>
        </w:tc>
        <w:tc>
          <w:tcPr>
            <w:tcW w:w="1075" w:type="dxa"/>
            <w:tcBorders>
              <w:top w:val="nil"/>
              <w:left w:val="nil"/>
              <w:bottom w:val="nil"/>
              <w:right w:val="nil"/>
            </w:tcBorders>
            <w:shd w:val="clear" w:color="auto" w:fill="auto"/>
            <w:noWrap/>
            <w:vAlign w:val="bottom"/>
          </w:tcPr>
          <w:p w14:paraId="4BB4415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420" w:type="dxa"/>
            <w:tcBorders>
              <w:top w:val="nil"/>
              <w:left w:val="nil"/>
              <w:bottom w:val="nil"/>
              <w:right w:val="nil"/>
            </w:tcBorders>
            <w:shd w:val="clear" w:color="auto" w:fill="auto"/>
            <w:noWrap/>
            <w:vAlign w:val="bottom"/>
          </w:tcPr>
          <w:p w14:paraId="5D3CA00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2.13 </w:t>
            </w:r>
          </w:p>
        </w:tc>
      </w:tr>
      <w:tr w14:paraId="769E5462">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4A1618BF">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4CC0381E">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0535C3D9">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7AA7135A">
            <w:pPr>
              <w:spacing w:after="0" w:line="240" w:lineRule="auto"/>
              <w:jc w:val="both"/>
              <w:rPr>
                <w:rFonts w:ascii="Times New Roman" w:hAnsi="Times New Roman" w:eastAsia="Calibri" w:cs="Times New Roman"/>
                <w:sz w:val="20"/>
                <w:szCs w:val="20"/>
              </w:rPr>
            </w:pPr>
          </w:p>
        </w:tc>
      </w:tr>
      <w:tr w14:paraId="444B8F81">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33183B0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Number of Dependents</w:t>
            </w:r>
          </w:p>
        </w:tc>
        <w:tc>
          <w:tcPr>
            <w:tcW w:w="1820" w:type="dxa"/>
            <w:tcBorders>
              <w:top w:val="nil"/>
              <w:left w:val="nil"/>
              <w:bottom w:val="nil"/>
              <w:right w:val="nil"/>
            </w:tcBorders>
            <w:shd w:val="clear" w:color="auto" w:fill="auto"/>
            <w:noWrap/>
            <w:vAlign w:val="bottom"/>
          </w:tcPr>
          <w:p w14:paraId="439C2B2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0-2</w:t>
            </w:r>
          </w:p>
        </w:tc>
        <w:tc>
          <w:tcPr>
            <w:tcW w:w="1075" w:type="dxa"/>
            <w:tcBorders>
              <w:top w:val="nil"/>
              <w:left w:val="nil"/>
              <w:bottom w:val="nil"/>
              <w:right w:val="nil"/>
            </w:tcBorders>
            <w:shd w:val="clear" w:color="auto" w:fill="auto"/>
            <w:noWrap/>
            <w:vAlign w:val="bottom"/>
          </w:tcPr>
          <w:p w14:paraId="5930E4F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11</w:t>
            </w:r>
          </w:p>
        </w:tc>
        <w:tc>
          <w:tcPr>
            <w:tcW w:w="1420" w:type="dxa"/>
            <w:tcBorders>
              <w:top w:val="nil"/>
              <w:left w:val="nil"/>
              <w:bottom w:val="nil"/>
              <w:right w:val="nil"/>
            </w:tcBorders>
            <w:shd w:val="clear" w:color="auto" w:fill="auto"/>
            <w:noWrap/>
            <w:vAlign w:val="bottom"/>
          </w:tcPr>
          <w:p w14:paraId="43CDABF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23.40 </w:t>
            </w:r>
          </w:p>
        </w:tc>
      </w:tr>
      <w:tr w14:paraId="7CD583B2">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1CD211B">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557BC91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&gt;2</w:t>
            </w:r>
          </w:p>
        </w:tc>
        <w:tc>
          <w:tcPr>
            <w:tcW w:w="1075" w:type="dxa"/>
            <w:tcBorders>
              <w:top w:val="nil"/>
              <w:left w:val="nil"/>
              <w:bottom w:val="nil"/>
              <w:right w:val="nil"/>
            </w:tcBorders>
            <w:shd w:val="clear" w:color="auto" w:fill="auto"/>
            <w:noWrap/>
            <w:vAlign w:val="bottom"/>
          </w:tcPr>
          <w:p w14:paraId="08DE981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36</w:t>
            </w:r>
          </w:p>
        </w:tc>
        <w:tc>
          <w:tcPr>
            <w:tcW w:w="1420" w:type="dxa"/>
            <w:tcBorders>
              <w:top w:val="nil"/>
              <w:left w:val="nil"/>
              <w:bottom w:val="nil"/>
              <w:right w:val="nil"/>
            </w:tcBorders>
            <w:shd w:val="clear" w:color="auto" w:fill="auto"/>
            <w:noWrap/>
            <w:vAlign w:val="bottom"/>
          </w:tcPr>
          <w:p w14:paraId="5E7D027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76.60 </w:t>
            </w:r>
          </w:p>
        </w:tc>
      </w:tr>
      <w:tr w14:paraId="30C0E62C">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62A4165">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3E1B91BD">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42B2D587">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61B67C06">
            <w:pPr>
              <w:spacing w:after="0" w:line="240" w:lineRule="auto"/>
              <w:jc w:val="both"/>
              <w:rPr>
                <w:rFonts w:ascii="Times New Roman" w:hAnsi="Times New Roman" w:eastAsia="Calibri" w:cs="Times New Roman"/>
                <w:sz w:val="20"/>
                <w:szCs w:val="20"/>
              </w:rPr>
            </w:pPr>
          </w:p>
        </w:tc>
      </w:tr>
      <w:tr w14:paraId="16088BC4">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34AE05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Farming Business Experience</w:t>
            </w:r>
          </w:p>
        </w:tc>
        <w:tc>
          <w:tcPr>
            <w:tcW w:w="1820" w:type="dxa"/>
            <w:tcBorders>
              <w:top w:val="nil"/>
              <w:left w:val="nil"/>
              <w:bottom w:val="nil"/>
              <w:right w:val="nil"/>
            </w:tcBorders>
            <w:shd w:val="clear" w:color="auto" w:fill="auto"/>
            <w:noWrap/>
            <w:vAlign w:val="bottom"/>
          </w:tcPr>
          <w:p w14:paraId="1A8DC9A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 years</w:t>
            </w:r>
          </w:p>
        </w:tc>
        <w:tc>
          <w:tcPr>
            <w:tcW w:w="1075" w:type="dxa"/>
            <w:tcBorders>
              <w:top w:val="nil"/>
              <w:left w:val="nil"/>
              <w:bottom w:val="nil"/>
              <w:right w:val="nil"/>
            </w:tcBorders>
            <w:shd w:val="clear" w:color="auto" w:fill="auto"/>
            <w:noWrap/>
            <w:vAlign w:val="bottom"/>
          </w:tcPr>
          <w:p w14:paraId="4C7D769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w:t>
            </w:r>
          </w:p>
        </w:tc>
        <w:tc>
          <w:tcPr>
            <w:tcW w:w="1420" w:type="dxa"/>
            <w:tcBorders>
              <w:top w:val="nil"/>
              <w:left w:val="nil"/>
              <w:bottom w:val="nil"/>
              <w:right w:val="nil"/>
            </w:tcBorders>
            <w:shd w:val="clear" w:color="auto" w:fill="auto"/>
            <w:noWrap/>
            <w:vAlign w:val="bottom"/>
          </w:tcPr>
          <w:p w14:paraId="043C3D4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4.26 </w:t>
            </w:r>
          </w:p>
        </w:tc>
      </w:tr>
      <w:tr w14:paraId="1A7768E1">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60E69B0B">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09D6E1B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3-5 years </w:t>
            </w:r>
          </w:p>
        </w:tc>
        <w:tc>
          <w:tcPr>
            <w:tcW w:w="1075" w:type="dxa"/>
            <w:tcBorders>
              <w:top w:val="nil"/>
              <w:left w:val="nil"/>
              <w:bottom w:val="nil"/>
              <w:right w:val="nil"/>
            </w:tcBorders>
            <w:shd w:val="clear" w:color="auto" w:fill="auto"/>
            <w:noWrap/>
            <w:vAlign w:val="bottom"/>
          </w:tcPr>
          <w:p w14:paraId="139E18D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15</w:t>
            </w:r>
          </w:p>
        </w:tc>
        <w:tc>
          <w:tcPr>
            <w:tcW w:w="1420" w:type="dxa"/>
            <w:tcBorders>
              <w:top w:val="nil"/>
              <w:left w:val="nil"/>
              <w:bottom w:val="nil"/>
              <w:right w:val="nil"/>
            </w:tcBorders>
            <w:shd w:val="clear" w:color="auto" w:fill="auto"/>
            <w:noWrap/>
            <w:vAlign w:val="bottom"/>
          </w:tcPr>
          <w:p w14:paraId="332B2D5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31.91 </w:t>
            </w:r>
          </w:p>
        </w:tc>
      </w:tr>
      <w:tr w14:paraId="070C71D9">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1FF4665">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693C758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&gt;5 years </w:t>
            </w:r>
          </w:p>
        </w:tc>
        <w:tc>
          <w:tcPr>
            <w:tcW w:w="1075" w:type="dxa"/>
            <w:tcBorders>
              <w:top w:val="nil"/>
              <w:left w:val="nil"/>
              <w:bottom w:val="nil"/>
              <w:right w:val="nil"/>
            </w:tcBorders>
            <w:shd w:val="clear" w:color="auto" w:fill="auto"/>
            <w:noWrap/>
            <w:vAlign w:val="bottom"/>
          </w:tcPr>
          <w:p w14:paraId="4F76423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30</w:t>
            </w:r>
          </w:p>
        </w:tc>
        <w:tc>
          <w:tcPr>
            <w:tcW w:w="1420" w:type="dxa"/>
            <w:tcBorders>
              <w:top w:val="nil"/>
              <w:left w:val="nil"/>
              <w:bottom w:val="nil"/>
              <w:right w:val="nil"/>
            </w:tcBorders>
            <w:shd w:val="clear" w:color="auto" w:fill="auto"/>
            <w:noWrap/>
            <w:vAlign w:val="bottom"/>
          </w:tcPr>
          <w:p w14:paraId="06D7275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63.83 </w:t>
            </w:r>
          </w:p>
        </w:tc>
      </w:tr>
      <w:tr w14:paraId="2BABD229">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03784B62">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38F08EE5">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7FA6CC0B">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3CEEAE91">
            <w:pPr>
              <w:spacing w:after="0" w:line="240" w:lineRule="auto"/>
              <w:jc w:val="both"/>
              <w:rPr>
                <w:rFonts w:ascii="Times New Roman" w:hAnsi="Times New Roman" w:eastAsia="Calibri" w:cs="Times New Roman"/>
                <w:sz w:val="20"/>
                <w:szCs w:val="20"/>
              </w:rPr>
            </w:pPr>
          </w:p>
        </w:tc>
      </w:tr>
      <w:tr w14:paraId="64DC738E">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9AA2E6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Large of Cultivated Land</w:t>
            </w:r>
          </w:p>
        </w:tc>
        <w:tc>
          <w:tcPr>
            <w:tcW w:w="1820" w:type="dxa"/>
            <w:tcBorders>
              <w:top w:val="nil"/>
              <w:left w:val="nil"/>
              <w:bottom w:val="nil"/>
              <w:right w:val="nil"/>
            </w:tcBorders>
            <w:shd w:val="clear" w:color="auto" w:fill="auto"/>
            <w:noWrap/>
            <w:vAlign w:val="bottom"/>
          </w:tcPr>
          <w:p w14:paraId="10C4335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0-0.5 ha</w:t>
            </w:r>
          </w:p>
        </w:tc>
        <w:tc>
          <w:tcPr>
            <w:tcW w:w="1075" w:type="dxa"/>
            <w:tcBorders>
              <w:top w:val="nil"/>
              <w:left w:val="nil"/>
              <w:bottom w:val="nil"/>
              <w:right w:val="nil"/>
            </w:tcBorders>
            <w:shd w:val="clear" w:color="auto" w:fill="auto"/>
            <w:noWrap/>
            <w:vAlign w:val="bottom"/>
          </w:tcPr>
          <w:p w14:paraId="51F344E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21</w:t>
            </w:r>
          </w:p>
        </w:tc>
        <w:tc>
          <w:tcPr>
            <w:tcW w:w="1420" w:type="dxa"/>
            <w:tcBorders>
              <w:top w:val="nil"/>
              <w:left w:val="nil"/>
              <w:bottom w:val="nil"/>
              <w:right w:val="nil"/>
            </w:tcBorders>
            <w:shd w:val="clear" w:color="auto" w:fill="auto"/>
            <w:noWrap/>
            <w:vAlign w:val="bottom"/>
          </w:tcPr>
          <w:p w14:paraId="7CA86FF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44.68 </w:t>
            </w:r>
          </w:p>
        </w:tc>
      </w:tr>
      <w:tr w14:paraId="61DAA1E5">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849EF2A">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476923A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0.5-1 ha</w:t>
            </w:r>
          </w:p>
        </w:tc>
        <w:tc>
          <w:tcPr>
            <w:tcW w:w="1075" w:type="dxa"/>
            <w:tcBorders>
              <w:top w:val="nil"/>
              <w:left w:val="nil"/>
              <w:bottom w:val="nil"/>
              <w:right w:val="nil"/>
            </w:tcBorders>
            <w:shd w:val="clear" w:color="auto" w:fill="auto"/>
            <w:noWrap/>
            <w:vAlign w:val="bottom"/>
          </w:tcPr>
          <w:p w14:paraId="2788BD9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15</w:t>
            </w:r>
          </w:p>
        </w:tc>
        <w:tc>
          <w:tcPr>
            <w:tcW w:w="1420" w:type="dxa"/>
            <w:tcBorders>
              <w:top w:val="nil"/>
              <w:left w:val="nil"/>
              <w:bottom w:val="nil"/>
              <w:right w:val="nil"/>
            </w:tcBorders>
            <w:shd w:val="clear" w:color="auto" w:fill="auto"/>
            <w:noWrap/>
            <w:vAlign w:val="bottom"/>
          </w:tcPr>
          <w:p w14:paraId="43DF1FF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31.91 </w:t>
            </w:r>
          </w:p>
        </w:tc>
      </w:tr>
      <w:tr w14:paraId="7AEA6CAF">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1B81B37F">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59CFD8C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&gt;1 ha</w:t>
            </w:r>
          </w:p>
        </w:tc>
        <w:tc>
          <w:tcPr>
            <w:tcW w:w="1075" w:type="dxa"/>
            <w:tcBorders>
              <w:top w:val="nil"/>
              <w:left w:val="nil"/>
              <w:bottom w:val="nil"/>
              <w:right w:val="nil"/>
            </w:tcBorders>
            <w:shd w:val="clear" w:color="auto" w:fill="auto"/>
            <w:noWrap/>
            <w:vAlign w:val="bottom"/>
          </w:tcPr>
          <w:p w14:paraId="15BCAC6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11</w:t>
            </w:r>
          </w:p>
        </w:tc>
        <w:tc>
          <w:tcPr>
            <w:tcW w:w="1420" w:type="dxa"/>
            <w:tcBorders>
              <w:top w:val="nil"/>
              <w:left w:val="nil"/>
              <w:bottom w:val="nil"/>
              <w:right w:val="nil"/>
            </w:tcBorders>
            <w:shd w:val="clear" w:color="auto" w:fill="auto"/>
            <w:noWrap/>
            <w:vAlign w:val="bottom"/>
          </w:tcPr>
          <w:p w14:paraId="022FB2C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23.40 </w:t>
            </w:r>
          </w:p>
        </w:tc>
      </w:tr>
      <w:tr w14:paraId="016B8393">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0E58611A">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6F91DFA9">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4A3E3F98">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511A84F5">
            <w:pPr>
              <w:spacing w:after="0" w:line="240" w:lineRule="auto"/>
              <w:jc w:val="both"/>
              <w:rPr>
                <w:rFonts w:ascii="Times New Roman" w:hAnsi="Times New Roman" w:eastAsia="Calibri" w:cs="Times New Roman"/>
                <w:sz w:val="20"/>
                <w:szCs w:val="20"/>
              </w:rPr>
            </w:pPr>
          </w:p>
        </w:tc>
      </w:tr>
      <w:tr w14:paraId="16B40DB8">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14A3465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Heritage Land from Parents</w:t>
            </w:r>
          </w:p>
        </w:tc>
        <w:tc>
          <w:tcPr>
            <w:tcW w:w="1820" w:type="dxa"/>
            <w:tcBorders>
              <w:top w:val="nil"/>
              <w:left w:val="nil"/>
              <w:bottom w:val="nil"/>
              <w:right w:val="nil"/>
            </w:tcBorders>
            <w:shd w:val="clear" w:color="auto" w:fill="auto"/>
            <w:noWrap/>
            <w:vAlign w:val="bottom"/>
          </w:tcPr>
          <w:p w14:paraId="56CE4A5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Yes </w:t>
            </w:r>
          </w:p>
        </w:tc>
        <w:tc>
          <w:tcPr>
            <w:tcW w:w="1075" w:type="dxa"/>
            <w:tcBorders>
              <w:top w:val="nil"/>
              <w:left w:val="nil"/>
              <w:bottom w:val="nil"/>
              <w:right w:val="nil"/>
            </w:tcBorders>
            <w:shd w:val="clear" w:color="auto" w:fill="auto"/>
            <w:noWrap/>
            <w:vAlign w:val="bottom"/>
          </w:tcPr>
          <w:p w14:paraId="43064BE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22</w:t>
            </w:r>
          </w:p>
        </w:tc>
        <w:tc>
          <w:tcPr>
            <w:tcW w:w="1420" w:type="dxa"/>
            <w:tcBorders>
              <w:top w:val="nil"/>
              <w:left w:val="nil"/>
              <w:bottom w:val="nil"/>
              <w:right w:val="nil"/>
            </w:tcBorders>
            <w:shd w:val="clear" w:color="auto" w:fill="auto"/>
            <w:noWrap/>
            <w:vAlign w:val="bottom"/>
          </w:tcPr>
          <w:p w14:paraId="639999F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46.81 </w:t>
            </w:r>
          </w:p>
        </w:tc>
      </w:tr>
      <w:tr w14:paraId="2E1D761A">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147F0AC9">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68CD8AA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w:t>
            </w:r>
          </w:p>
        </w:tc>
        <w:tc>
          <w:tcPr>
            <w:tcW w:w="1075" w:type="dxa"/>
            <w:tcBorders>
              <w:top w:val="nil"/>
              <w:left w:val="nil"/>
              <w:bottom w:val="nil"/>
              <w:right w:val="nil"/>
            </w:tcBorders>
            <w:shd w:val="clear" w:color="auto" w:fill="auto"/>
            <w:noWrap/>
            <w:vAlign w:val="bottom"/>
          </w:tcPr>
          <w:p w14:paraId="304DD78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420" w:type="dxa"/>
            <w:tcBorders>
              <w:top w:val="nil"/>
              <w:left w:val="nil"/>
              <w:bottom w:val="nil"/>
              <w:right w:val="nil"/>
            </w:tcBorders>
            <w:shd w:val="clear" w:color="auto" w:fill="auto"/>
            <w:noWrap/>
            <w:vAlign w:val="bottom"/>
          </w:tcPr>
          <w:p w14:paraId="3552373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53.19 </w:t>
            </w:r>
          </w:p>
        </w:tc>
      </w:tr>
      <w:tr w14:paraId="3E1CE474">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3B48889B">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68AD6EE2">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6083C65E">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3A5DDE10">
            <w:pPr>
              <w:spacing w:after="0" w:line="240" w:lineRule="auto"/>
              <w:jc w:val="both"/>
              <w:rPr>
                <w:rFonts w:ascii="Times New Roman" w:hAnsi="Times New Roman" w:eastAsia="Calibri" w:cs="Times New Roman"/>
                <w:sz w:val="20"/>
                <w:szCs w:val="20"/>
              </w:rPr>
            </w:pPr>
          </w:p>
        </w:tc>
      </w:tr>
      <w:tr w14:paraId="7D276FFF">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75750B6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Off Farm Access</w:t>
            </w:r>
          </w:p>
        </w:tc>
        <w:tc>
          <w:tcPr>
            <w:tcW w:w="1820" w:type="dxa"/>
            <w:tcBorders>
              <w:top w:val="nil"/>
              <w:left w:val="nil"/>
              <w:bottom w:val="nil"/>
              <w:right w:val="nil"/>
            </w:tcBorders>
            <w:shd w:val="clear" w:color="auto" w:fill="auto"/>
            <w:noWrap/>
            <w:vAlign w:val="bottom"/>
          </w:tcPr>
          <w:p w14:paraId="264389B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Yes </w:t>
            </w:r>
          </w:p>
        </w:tc>
        <w:tc>
          <w:tcPr>
            <w:tcW w:w="1075" w:type="dxa"/>
            <w:tcBorders>
              <w:top w:val="nil"/>
              <w:left w:val="nil"/>
              <w:bottom w:val="nil"/>
              <w:right w:val="nil"/>
            </w:tcBorders>
            <w:shd w:val="clear" w:color="auto" w:fill="auto"/>
            <w:noWrap/>
            <w:vAlign w:val="bottom"/>
          </w:tcPr>
          <w:p w14:paraId="08082CB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24</w:t>
            </w:r>
          </w:p>
        </w:tc>
        <w:tc>
          <w:tcPr>
            <w:tcW w:w="1420" w:type="dxa"/>
            <w:tcBorders>
              <w:top w:val="nil"/>
              <w:left w:val="nil"/>
              <w:bottom w:val="nil"/>
              <w:right w:val="nil"/>
            </w:tcBorders>
            <w:shd w:val="clear" w:color="auto" w:fill="auto"/>
            <w:noWrap/>
            <w:vAlign w:val="bottom"/>
          </w:tcPr>
          <w:p w14:paraId="3CA7670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51.06 </w:t>
            </w:r>
          </w:p>
        </w:tc>
      </w:tr>
      <w:tr w14:paraId="4D5C2874">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6D007348">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455395D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w:t>
            </w:r>
          </w:p>
        </w:tc>
        <w:tc>
          <w:tcPr>
            <w:tcW w:w="1075" w:type="dxa"/>
            <w:tcBorders>
              <w:top w:val="nil"/>
              <w:left w:val="nil"/>
              <w:bottom w:val="nil"/>
              <w:right w:val="nil"/>
            </w:tcBorders>
            <w:shd w:val="clear" w:color="auto" w:fill="auto"/>
            <w:noWrap/>
            <w:vAlign w:val="bottom"/>
          </w:tcPr>
          <w:p w14:paraId="32A8C06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23</w:t>
            </w:r>
          </w:p>
        </w:tc>
        <w:tc>
          <w:tcPr>
            <w:tcW w:w="1420" w:type="dxa"/>
            <w:tcBorders>
              <w:top w:val="nil"/>
              <w:left w:val="nil"/>
              <w:bottom w:val="nil"/>
              <w:right w:val="nil"/>
            </w:tcBorders>
            <w:shd w:val="clear" w:color="auto" w:fill="auto"/>
            <w:noWrap/>
            <w:vAlign w:val="bottom"/>
          </w:tcPr>
          <w:p w14:paraId="0EEA4B6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48.94 </w:t>
            </w:r>
          </w:p>
        </w:tc>
      </w:tr>
      <w:tr w14:paraId="38105814">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6388C926">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11999CEF">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4D264667">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5067C57E">
            <w:pPr>
              <w:spacing w:after="0" w:line="240" w:lineRule="auto"/>
              <w:jc w:val="both"/>
              <w:rPr>
                <w:rFonts w:ascii="Times New Roman" w:hAnsi="Times New Roman" w:eastAsia="Calibri" w:cs="Times New Roman"/>
                <w:sz w:val="20"/>
                <w:szCs w:val="20"/>
              </w:rPr>
            </w:pPr>
          </w:p>
        </w:tc>
      </w:tr>
      <w:tr w14:paraId="718A2B09">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660FC0E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Support from Social Environment</w:t>
            </w:r>
          </w:p>
        </w:tc>
        <w:tc>
          <w:tcPr>
            <w:tcW w:w="1820" w:type="dxa"/>
            <w:tcBorders>
              <w:top w:val="nil"/>
              <w:left w:val="nil"/>
              <w:bottom w:val="nil"/>
              <w:right w:val="nil"/>
            </w:tcBorders>
            <w:shd w:val="clear" w:color="auto" w:fill="auto"/>
            <w:noWrap/>
            <w:vAlign w:val="bottom"/>
          </w:tcPr>
          <w:p w14:paraId="0568E66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Yes</w:t>
            </w:r>
          </w:p>
        </w:tc>
        <w:tc>
          <w:tcPr>
            <w:tcW w:w="1075" w:type="dxa"/>
            <w:tcBorders>
              <w:top w:val="nil"/>
              <w:left w:val="nil"/>
              <w:bottom w:val="nil"/>
              <w:right w:val="nil"/>
            </w:tcBorders>
            <w:shd w:val="clear" w:color="auto" w:fill="auto"/>
            <w:noWrap/>
            <w:vAlign w:val="bottom"/>
          </w:tcPr>
          <w:p w14:paraId="245C51B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36</w:t>
            </w:r>
          </w:p>
        </w:tc>
        <w:tc>
          <w:tcPr>
            <w:tcW w:w="1420" w:type="dxa"/>
            <w:tcBorders>
              <w:top w:val="nil"/>
              <w:left w:val="nil"/>
              <w:bottom w:val="nil"/>
              <w:right w:val="nil"/>
            </w:tcBorders>
            <w:shd w:val="clear" w:color="auto" w:fill="auto"/>
            <w:noWrap/>
            <w:vAlign w:val="bottom"/>
          </w:tcPr>
          <w:p w14:paraId="04B6BD5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76.60 </w:t>
            </w:r>
          </w:p>
        </w:tc>
      </w:tr>
      <w:tr w14:paraId="008C9095">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5CA1EB35">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4AC942A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w:t>
            </w:r>
          </w:p>
        </w:tc>
        <w:tc>
          <w:tcPr>
            <w:tcW w:w="1075" w:type="dxa"/>
            <w:tcBorders>
              <w:top w:val="nil"/>
              <w:left w:val="nil"/>
              <w:bottom w:val="nil"/>
              <w:right w:val="nil"/>
            </w:tcBorders>
            <w:shd w:val="clear" w:color="auto" w:fill="auto"/>
            <w:noWrap/>
            <w:vAlign w:val="bottom"/>
          </w:tcPr>
          <w:p w14:paraId="260F81F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11</w:t>
            </w:r>
          </w:p>
        </w:tc>
        <w:tc>
          <w:tcPr>
            <w:tcW w:w="1420" w:type="dxa"/>
            <w:tcBorders>
              <w:top w:val="nil"/>
              <w:left w:val="nil"/>
              <w:bottom w:val="nil"/>
              <w:right w:val="nil"/>
            </w:tcBorders>
            <w:shd w:val="clear" w:color="auto" w:fill="auto"/>
            <w:noWrap/>
            <w:vAlign w:val="bottom"/>
          </w:tcPr>
          <w:p w14:paraId="3BF9FDD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23.40 </w:t>
            </w:r>
          </w:p>
        </w:tc>
      </w:tr>
      <w:tr w14:paraId="12AAD95C">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2B934553">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4BD74689">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1CB9E2C1">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223CD457">
            <w:pPr>
              <w:spacing w:after="0" w:line="240" w:lineRule="auto"/>
              <w:jc w:val="both"/>
              <w:rPr>
                <w:rFonts w:ascii="Times New Roman" w:hAnsi="Times New Roman" w:eastAsia="Calibri" w:cs="Times New Roman"/>
                <w:sz w:val="20"/>
                <w:szCs w:val="20"/>
              </w:rPr>
            </w:pPr>
          </w:p>
        </w:tc>
      </w:tr>
      <w:tr w14:paraId="3DEECF22">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3F616A6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Participation of Farming Group</w:t>
            </w:r>
          </w:p>
        </w:tc>
        <w:tc>
          <w:tcPr>
            <w:tcW w:w="1820" w:type="dxa"/>
            <w:tcBorders>
              <w:top w:val="nil"/>
              <w:left w:val="nil"/>
              <w:bottom w:val="nil"/>
              <w:right w:val="nil"/>
            </w:tcBorders>
            <w:shd w:val="clear" w:color="auto" w:fill="auto"/>
            <w:noWrap/>
            <w:vAlign w:val="bottom"/>
          </w:tcPr>
          <w:p w14:paraId="173BABF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Yes</w:t>
            </w:r>
          </w:p>
        </w:tc>
        <w:tc>
          <w:tcPr>
            <w:tcW w:w="1075" w:type="dxa"/>
            <w:tcBorders>
              <w:top w:val="nil"/>
              <w:left w:val="nil"/>
              <w:bottom w:val="nil"/>
              <w:right w:val="nil"/>
            </w:tcBorders>
            <w:shd w:val="clear" w:color="auto" w:fill="auto"/>
            <w:noWrap/>
            <w:vAlign w:val="bottom"/>
          </w:tcPr>
          <w:p w14:paraId="673FEAB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37</w:t>
            </w:r>
          </w:p>
        </w:tc>
        <w:tc>
          <w:tcPr>
            <w:tcW w:w="1420" w:type="dxa"/>
            <w:tcBorders>
              <w:top w:val="nil"/>
              <w:left w:val="nil"/>
              <w:bottom w:val="nil"/>
              <w:right w:val="nil"/>
            </w:tcBorders>
            <w:shd w:val="clear" w:color="auto" w:fill="auto"/>
            <w:noWrap/>
            <w:vAlign w:val="bottom"/>
          </w:tcPr>
          <w:p w14:paraId="1A1BF76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78.72 </w:t>
            </w:r>
          </w:p>
        </w:tc>
      </w:tr>
      <w:tr w14:paraId="5E6AF14F">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0D8D2558">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7ADE5A3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w:t>
            </w:r>
          </w:p>
        </w:tc>
        <w:tc>
          <w:tcPr>
            <w:tcW w:w="1075" w:type="dxa"/>
            <w:tcBorders>
              <w:top w:val="nil"/>
              <w:left w:val="nil"/>
              <w:bottom w:val="nil"/>
              <w:right w:val="nil"/>
            </w:tcBorders>
            <w:shd w:val="clear" w:color="auto" w:fill="auto"/>
            <w:noWrap/>
            <w:vAlign w:val="bottom"/>
          </w:tcPr>
          <w:p w14:paraId="3F37C12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420" w:type="dxa"/>
            <w:tcBorders>
              <w:top w:val="nil"/>
              <w:left w:val="nil"/>
              <w:bottom w:val="nil"/>
              <w:right w:val="nil"/>
            </w:tcBorders>
            <w:shd w:val="clear" w:color="auto" w:fill="auto"/>
            <w:noWrap/>
            <w:vAlign w:val="bottom"/>
          </w:tcPr>
          <w:p w14:paraId="58F8DE0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21.28 </w:t>
            </w:r>
          </w:p>
        </w:tc>
      </w:tr>
      <w:tr w14:paraId="43C5EEB5">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47B84F12">
            <w:pPr>
              <w:spacing w:after="0" w:line="240" w:lineRule="auto"/>
              <w:jc w:val="both"/>
              <w:rPr>
                <w:rFonts w:ascii="Times New Roman" w:hAnsi="Times New Roman" w:eastAsia="Calibri" w:cs="Times New Roman"/>
                <w:sz w:val="20"/>
                <w:szCs w:val="20"/>
              </w:rPr>
            </w:pPr>
          </w:p>
        </w:tc>
        <w:tc>
          <w:tcPr>
            <w:tcW w:w="1820" w:type="dxa"/>
            <w:tcBorders>
              <w:top w:val="nil"/>
              <w:left w:val="nil"/>
              <w:bottom w:val="nil"/>
              <w:right w:val="nil"/>
            </w:tcBorders>
            <w:shd w:val="clear" w:color="auto" w:fill="auto"/>
            <w:noWrap/>
            <w:vAlign w:val="bottom"/>
          </w:tcPr>
          <w:p w14:paraId="04BE4A8C">
            <w:pPr>
              <w:spacing w:after="0" w:line="240" w:lineRule="auto"/>
              <w:jc w:val="both"/>
              <w:rPr>
                <w:rFonts w:ascii="Times New Roman" w:hAnsi="Times New Roman" w:eastAsia="Calibri" w:cs="Times New Roman"/>
                <w:sz w:val="20"/>
                <w:szCs w:val="20"/>
              </w:rPr>
            </w:pPr>
          </w:p>
        </w:tc>
        <w:tc>
          <w:tcPr>
            <w:tcW w:w="1075" w:type="dxa"/>
            <w:tcBorders>
              <w:top w:val="nil"/>
              <w:left w:val="nil"/>
              <w:bottom w:val="nil"/>
              <w:right w:val="nil"/>
            </w:tcBorders>
            <w:shd w:val="clear" w:color="auto" w:fill="auto"/>
            <w:noWrap/>
            <w:vAlign w:val="bottom"/>
          </w:tcPr>
          <w:p w14:paraId="133E8AA5">
            <w:pPr>
              <w:spacing w:after="0" w:line="240" w:lineRule="auto"/>
              <w:jc w:val="both"/>
              <w:rPr>
                <w:rFonts w:ascii="Times New Roman" w:hAnsi="Times New Roman" w:eastAsia="Calibri" w:cs="Times New Roman"/>
                <w:sz w:val="20"/>
                <w:szCs w:val="20"/>
              </w:rPr>
            </w:pPr>
          </w:p>
        </w:tc>
        <w:tc>
          <w:tcPr>
            <w:tcW w:w="1420" w:type="dxa"/>
            <w:tcBorders>
              <w:top w:val="nil"/>
              <w:left w:val="nil"/>
              <w:bottom w:val="nil"/>
              <w:right w:val="nil"/>
            </w:tcBorders>
            <w:shd w:val="clear" w:color="auto" w:fill="auto"/>
            <w:noWrap/>
            <w:vAlign w:val="bottom"/>
          </w:tcPr>
          <w:p w14:paraId="61598EBE">
            <w:pPr>
              <w:spacing w:after="0" w:line="240" w:lineRule="auto"/>
              <w:jc w:val="both"/>
              <w:rPr>
                <w:rFonts w:ascii="Times New Roman" w:hAnsi="Times New Roman" w:eastAsia="Calibri" w:cs="Times New Roman"/>
                <w:sz w:val="20"/>
                <w:szCs w:val="20"/>
              </w:rPr>
            </w:pPr>
          </w:p>
        </w:tc>
      </w:tr>
      <w:tr w14:paraId="64F5384E">
        <w:tblPrEx>
          <w:tblCellMar>
            <w:top w:w="0" w:type="dxa"/>
            <w:left w:w="108" w:type="dxa"/>
            <w:bottom w:w="0" w:type="dxa"/>
            <w:right w:w="108" w:type="dxa"/>
          </w:tblCellMar>
        </w:tblPrEx>
        <w:trPr>
          <w:trHeight w:val="290" w:hRule="atLeast"/>
          <w:jc w:val="center"/>
        </w:trPr>
        <w:tc>
          <w:tcPr>
            <w:tcW w:w="3500" w:type="dxa"/>
            <w:tcBorders>
              <w:top w:val="nil"/>
              <w:left w:val="nil"/>
              <w:bottom w:val="nil"/>
              <w:right w:val="nil"/>
            </w:tcBorders>
            <w:shd w:val="clear" w:color="auto" w:fill="auto"/>
            <w:noWrap/>
            <w:vAlign w:val="bottom"/>
          </w:tcPr>
          <w:p w14:paraId="1B636DD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Willingness to Survive as Farmer</w:t>
            </w:r>
          </w:p>
        </w:tc>
        <w:tc>
          <w:tcPr>
            <w:tcW w:w="1820" w:type="dxa"/>
            <w:tcBorders>
              <w:top w:val="nil"/>
              <w:left w:val="nil"/>
              <w:bottom w:val="nil"/>
              <w:right w:val="nil"/>
            </w:tcBorders>
            <w:shd w:val="clear" w:color="auto" w:fill="auto"/>
            <w:noWrap/>
            <w:vAlign w:val="bottom"/>
          </w:tcPr>
          <w:p w14:paraId="507ACED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Yes</w:t>
            </w:r>
          </w:p>
        </w:tc>
        <w:tc>
          <w:tcPr>
            <w:tcW w:w="1075" w:type="dxa"/>
            <w:tcBorders>
              <w:top w:val="nil"/>
              <w:left w:val="nil"/>
              <w:bottom w:val="nil"/>
              <w:right w:val="nil"/>
            </w:tcBorders>
            <w:shd w:val="clear" w:color="auto" w:fill="auto"/>
            <w:noWrap/>
            <w:vAlign w:val="bottom"/>
          </w:tcPr>
          <w:p w14:paraId="125EDFB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22</w:t>
            </w:r>
          </w:p>
        </w:tc>
        <w:tc>
          <w:tcPr>
            <w:tcW w:w="1420" w:type="dxa"/>
            <w:tcBorders>
              <w:top w:val="nil"/>
              <w:left w:val="nil"/>
              <w:bottom w:val="nil"/>
              <w:right w:val="nil"/>
            </w:tcBorders>
            <w:shd w:val="clear" w:color="auto" w:fill="auto"/>
            <w:noWrap/>
            <w:vAlign w:val="bottom"/>
          </w:tcPr>
          <w:p w14:paraId="5CB9F4E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46.81 </w:t>
            </w:r>
          </w:p>
        </w:tc>
      </w:tr>
      <w:tr w14:paraId="34B6B2F6">
        <w:tblPrEx>
          <w:tblCellMar>
            <w:top w:w="0" w:type="dxa"/>
            <w:left w:w="108" w:type="dxa"/>
            <w:bottom w:w="0" w:type="dxa"/>
            <w:right w:w="108" w:type="dxa"/>
          </w:tblCellMar>
        </w:tblPrEx>
        <w:trPr>
          <w:trHeight w:val="290" w:hRule="atLeast"/>
          <w:jc w:val="center"/>
        </w:trPr>
        <w:tc>
          <w:tcPr>
            <w:tcW w:w="3500" w:type="dxa"/>
            <w:tcBorders>
              <w:top w:val="nil"/>
              <w:left w:val="nil"/>
              <w:bottom w:val="single" w:color="auto" w:sz="4" w:space="0"/>
              <w:right w:val="nil"/>
            </w:tcBorders>
            <w:shd w:val="clear" w:color="auto" w:fill="auto"/>
            <w:noWrap/>
            <w:vAlign w:val="bottom"/>
          </w:tcPr>
          <w:p w14:paraId="2E7DE1E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820" w:type="dxa"/>
            <w:tcBorders>
              <w:top w:val="nil"/>
              <w:left w:val="nil"/>
              <w:bottom w:val="single" w:color="auto" w:sz="4" w:space="0"/>
              <w:right w:val="nil"/>
            </w:tcBorders>
            <w:shd w:val="clear" w:color="auto" w:fill="auto"/>
            <w:noWrap/>
            <w:vAlign w:val="bottom"/>
          </w:tcPr>
          <w:p w14:paraId="2E4F2A8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No</w:t>
            </w:r>
          </w:p>
        </w:tc>
        <w:tc>
          <w:tcPr>
            <w:tcW w:w="1075" w:type="dxa"/>
            <w:tcBorders>
              <w:top w:val="nil"/>
              <w:left w:val="nil"/>
              <w:bottom w:val="single" w:color="auto" w:sz="4" w:space="0"/>
              <w:right w:val="nil"/>
            </w:tcBorders>
            <w:shd w:val="clear" w:color="auto" w:fill="auto"/>
            <w:noWrap/>
            <w:vAlign w:val="bottom"/>
          </w:tcPr>
          <w:p w14:paraId="2E1FB3A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25</w:t>
            </w:r>
          </w:p>
        </w:tc>
        <w:tc>
          <w:tcPr>
            <w:tcW w:w="1420" w:type="dxa"/>
            <w:tcBorders>
              <w:top w:val="nil"/>
              <w:left w:val="nil"/>
              <w:bottom w:val="single" w:color="auto" w:sz="4" w:space="0"/>
              <w:right w:val="nil"/>
            </w:tcBorders>
            <w:shd w:val="clear" w:color="auto" w:fill="auto"/>
            <w:noWrap/>
            <w:vAlign w:val="bottom"/>
          </w:tcPr>
          <w:p w14:paraId="113B8DA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53.19 </w:t>
            </w:r>
          </w:p>
        </w:tc>
      </w:tr>
      <w:bookmarkEnd w:id="1"/>
    </w:tbl>
    <w:p w14:paraId="5FFC590A">
      <w:pPr>
        <w:spacing w:after="0"/>
        <w:jc w:val="both"/>
        <w:rPr>
          <w:rFonts w:ascii="Times New Roman" w:hAnsi="Times New Roman" w:eastAsia="SimSun" w:cs="Times New Roman"/>
          <w:color w:val="000000" w:themeColor="text1"/>
        </w:rPr>
      </w:pPr>
    </w:p>
    <w:p w14:paraId="6EF0AE05">
      <w:pPr>
        <w:spacing w:after="0"/>
        <w:jc w:val="both"/>
        <w:rPr>
          <w:rFonts w:ascii="Times New Roman" w:hAnsi="Times New Roman" w:cs="Times New Roman"/>
          <w:color w:val="000000" w:themeColor="text1"/>
        </w:rPr>
      </w:pPr>
    </w:p>
    <w:p w14:paraId="2250EA68">
      <w:pPr>
        <w:spacing w:after="80" w:line="240" w:lineRule="auto"/>
        <w:ind w:firstLine="567"/>
        <w:jc w:val="both"/>
        <w:rPr>
          <w:rFonts w:ascii="Times New Roman" w:hAnsi="Times New Roman" w:cs="Times New Roman"/>
          <w:color w:val="000000" w:themeColor="text1"/>
        </w:rPr>
      </w:pPr>
      <w:bookmarkStart w:id="2" w:name="_Hlk179123124"/>
      <w:r>
        <w:rPr>
          <w:rFonts w:ascii="Times New Roman" w:hAnsi="Times New Roman" w:cs="Times New Roman"/>
          <w:color w:val="000000" w:themeColor="text1"/>
        </w:rPr>
        <w:t xml:space="preserve">Farmers' willingness to continue farming is strongly linked to the amount of farmed land they have. This study categorized farmed land into three types. Farmers with farmed areas of ​​0-0.5 ha account for 44%, while those with &gt; 0.5-1 ha account for 31.91%. About 23% have agricultural areas of &gt;1 hectare. According to these data, young farmers continue to manage a small area of cultivation. This is because young farmers have restricted access to land. Young farmers struggle to expand their production area due to expensive land prices and rents. The importance of land access, followed by the inheritance of land from parents, will have a significant impact on young farmers' willingness to engage and eventually persist in the agricultural industry. On average, 46.81% of respondents received land inheritance from their parents, while 53.19% did not. Young farmers who inherit land tend to continue their parents' businesses. According to the findings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{"citationItems":[{"id":"ITEM-1","itemData":{"author":[{"dropping-particle":"","family":"Hidayatullah","given":"Rahmat Syarif","non-dropping-particle":"","parse-names":false,"suffix":""},{"dropping-particle":"","family":"Rozaki","given":"Zuhud","non-dropping-particle":"","parse-names":false,"suffix":""},{"dropping-particle":"","family":"Wulandari","given":"Retno","non-dropping-particle":"","parse-names":false,"suffix":""},{"dropping-particle":"","family":"Azzahra","given":"Isni","non-dropping-particle":"","parse-names":false,"suffix":""}],"id":"ITEM-1","issue":"2","issued":{"date-parts":[["2023"]]},"page":"269-274","title":"Nurturing the Hope of Indonesian Agriculture : Young Generation ' s Contribution to Technology Improvement for Sustainable Indonesian Agriculture Memupuk Harapan Pertanian Indonesia : Kontribusi Generasi Muda dalam Peningkatan Teknologi Demi Mewujudkan Pe","type":"article-journal","volume":"3"},"uris":["http://www.mendeley.com/documents/?uuid=e08d3b2a-50a9-4148-9f09-b2bd6202d730"]}],"mendeley":{"formattedCitation":"(Hidayatullah et al., 2023)","plainTextFormattedCitation":"(Hidayatullah et al., 2023)","previouslyFormattedCitation":"[24]"},"properties":{"noteIndex":0},"schema":"https://github.com/citation-style-language/schema/raw/master/csl-citation.json"}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(Hidayatullah et al.,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bookmarkEnd w:id="2"/>
      <w:r>
        <w:rPr>
          <w:rFonts w:ascii="Times New Roman" w:hAnsi="Times New Roman" w:cs="Times New Roman"/>
          <w:color w:val="000000" w:themeColor="text1"/>
        </w:rPr>
        <w:t>cultural factors influence the continuation of the parents' businesses when inheriting land from them.</w:t>
      </w:r>
    </w:p>
    <w:p w14:paraId="153D6389">
      <w:pPr>
        <w:spacing w:after="80" w:line="240" w:lineRule="auto"/>
        <w:ind w:firstLine="567"/>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 Another significant factor is parental and community support for the farmer's profession. In this study, parental social-environmental support is associated with agricultural education beginning in childhood, whereas support from the place of residency is associated with infrastructure, financing, and government help. According to the study's findings, 76.6% received environmental support, while the remaining 23.40% received no environmental support for their future farming careers. In the family, parents serve as facilitators, assisting their children to attain success. The field survey findings revealed that, on average, young farmers have known about plant production procedures since childhood.  This is also influenced by environmental factors, since the majority also work as farmers which also influences the willingness of young farmers to persist with their profession as farmers.</w:t>
      </w:r>
    </w:p>
    <w:p w14:paraId="6F204ABF">
      <w:pPr>
        <w:autoSpaceDE w:val="0"/>
        <w:autoSpaceDN w:val="0"/>
        <w:adjustRightInd w:val="0"/>
        <w:spacing w:after="80" w:line="240" w:lineRule="auto"/>
        <w:ind w:firstLine="720"/>
        <w:jc w:val="both"/>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Furthermore, participation in farmer groups influences farmers' willingness to continue farming. On average, 78% of young farmers participate in farmer groups, whereas 21% do not. These findings imply a high level of participation among young farmers in groups. There are numerous advantages to joining a group, such as the easy access to information and support services that will be available if people join a farmer's organization. This is frequently what motivates young farmers to join and participate in farmer groups. </w:t>
      </w:r>
    </w:p>
    <w:p w14:paraId="44E06245">
      <w:pPr>
        <w:autoSpaceDE w:val="0"/>
        <w:autoSpaceDN w:val="0"/>
        <w:adjustRightInd w:val="0"/>
        <w:spacing w:after="80" w:line="240" w:lineRule="auto"/>
        <w:ind w:firstLine="720"/>
        <w:jc w:val="both"/>
        <w:rPr>
          <w:rFonts w:ascii="Times New Roman" w:hAnsi="Times New Roman" w:eastAsia="SimSun" w:cs="Times New Roman"/>
          <w:color w:val="000000" w:themeColor="text1"/>
        </w:rPr>
      </w:pPr>
      <w:r>
        <w:rPr>
          <w:rFonts w:ascii="Times New Roman" w:hAnsi="Times New Roman" w:eastAsia="Calibri" w:cs="Times New Roman"/>
          <w:color w:val="000000" w:themeColor="text1"/>
        </w:rPr>
        <w:t>Overall, 46.81% of young farmers are willing to continue their agricultural vocation, while the remaining 53% said they would leave farming if they found better employment. Farmers' willingness to continue farming is inextricably linked to land inheritance and family support. However, many young people chose non-agricultural jobs such as construction workers, porters, online motorcycle taxi drivers, barbers, and so on. Another reason not to work in agriculture is that agricultural selling prices fluctuate and results take a long time to come.</w:t>
      </w:r>
    </w:p>
    <w:p w14:paraId="6F26C5A8">
      <w:pPr>
        <w:autoSpaceDE w:val="0"/>
        <w:autoSpaceDN w:val="0"/>
        <w:adjustRightInd w:val="0"/>
        <w:spacing w:after="0" w:line="240" w:lineRule="auto"/>
        <w:jc w:val="both"/>
        <w:rPr>
          <w:rFonts w:ascii="Times New Roman" w:hAnsi="Times New Roman" w:eastAsia="SimSun" w:cs="Times New Roman"/>
          <w:color w:val="000000" w:themeColor="text1"/>
        </w:rPr>
      </w:pPr>
    </w:p>
    <w:p w14:paraId="3D79C102">
      <w:pPr>
        <w:autoSpaceDE w:val="0"/>
        <w:autoSpaceDN w:val="0"/>
        <w:adjustRightInd w:val="0"/>
        <w:spacing w:after="0" w:line="240" w:lineRule="auto"/>
        <w:jc w:val="both"/>
        <w:rPr>
          <w:rFonts w:ascii="Times New Roman" w:hAnsi="Times New Roman" w:eastAsia="SimSun" w:cs="Times New Roman"/>
          <w:b/>
          <w:bCs/>
          <w:color w:val="000000" w:themeColor="text1"/>
        </w:rPr>
      </w:pPr>
      <w:r>
        <w:rPr>
          <w:rFonts w:ascii="Times New Roman" w:hAnsi="Times New Roman" w:eastAsia="SimSun" w:cs="Times New Roman"/>
          <w:b/>
          <w:bCs/>
          <w:color w:val="000000" w:themeColor="text1"/>
        </w:rPr>
        <w:t>Factors Affecting the Willingness of Young Farmers to Persist in the Agricultural Sector</w:t>
      </w:r>
    </w:p>
    <w:p w14:paraId="02EE30B0">
      <w:pPr>
        <w:autoSpaceDE w:val="0"/>
        <w:autoSpaceDN w:val="0"/>
        <w:adjustRightInd w:val="0"/>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Factors affecting the decision of young farmers to remain working as farmers in Rasau Jaya District were analyzed using logistic regression. The variables included as independent variables include education level (X1), farming experience (X2), number of dependents (X3), area of ​​cultivated land (X4), inheritance of land (X5), off-farm access (X6), environmental support (X7), and active participation in farmer groups (X8). The dependent variable consists of two possibilities, Y = 1 if the young farmer still states that he wants to remain in farming and even has hopes of developing a more advanced farming business in the future, conversely, Y = 0 if the possibility of the young farmer wants to resign or leave the agricultural business because farming is currently a necessity or in the future farming is seen as not having better prospects.</w:t>
      </w:r>
    </w:p>
    <w:p w14:paraId="06CE83F1">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first step in conducting a logistic regression test is to determine the model's viability. The model significance value in the Omnibus Test of Model, as well as the Hosmer and Lemeshow Test tables, demonstrate the model's viability. The model significance value based on the findings of the Omnibus Test of Model Coefficient is 0.003, which is less than the 10% actual level, indicating that at least one independent variable has a meaningful effect on the dependent variable. The model significance value in the Hosmer and Lemeshow Test is 0.795, which is greater than the 10% real level, therefore Ho is accepted, implying that there is no significant difference between the model and the data, and thus the logistic regression model can predict the observation values. </w:t>
      </w:r>
    </w:p>
    <w:p w14:paraId="3BA86A47">
      <w:pPr>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Furthermore, using the Nagelkerke R Square value, a value of 0.526 is produced, indicating that the independent variables may explain 52% of the total diversity of the logistic regression model, with the remaining 48% explained by factors outside the model. The influence of each independent variable on the dependent variable is determined using a partial parameter test. The Wald test is used to investigate each parameter independently.  Accept Ho (null hypothesis) or fail to reject Ho at the level if the P value or the sign value of the Wald Test is greater than </w:t>
      </w:r>
      <w:r>
        <w:rPr>
          <w:rFonts w:ascii="Times New Roman" w:hAnsi="Times New Roman" w:eastAsia="SimSun" w:cs="Times New Roman"/>
          <w:color w:val="000000" w:themeColor="text1"/>
        </w:rPr>
        <w:t xml:space="preserve">α, </w:t>
      </w:r>
      <w:r>
        <w:rPr>
          <w:rFonts w:ascii="Times New Roman" w:hAnsi="Times New Roman" w:cs="Times New Roman"/>
          <w:color w:val="000000" w:themeColor="text1"/>
        </w:rPr>
        <w:t>as presented in Table 2.</w:t>
      </w:r>
    </w:p>
    <w:p w14:paraId="4701F954">
      <w:pPr>
        <w:spacing w:after="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Table 2. Factors influencing the willingness of young farmers to persist in the profession of farmers</w:t>
      </w:r>
    </w:p>
    <w:tbl>
      <w:tblPr>
        <w:tblStyle w:val="6"/>
        <w:tblW w:w="8835" w:type="dxa"/>
        <w:tblInd w:w="0" w:type="dxa"/>
        <w:tblLayout w:type="autofit"/>
        <w:tblCellMar>
          <w:top w:w="0" w:type="dxa"/>
          <w:left w:w="108" w:type="dxa"/>
          <w:bottom w:w="0" w:type="dxa"/>
          <w:right w:w="108" w:type="dxa"/>
        </w:tblCellMar>
      </w:tblPr>
      <w:tblGrid>
        <w:gridCol w:w="3227"/>
        <w:gridCol w:w="1184"/>
        <w:gridCol w:w="1184"/>
        <w:gridCol w:w="1080"/>
        <w:gridCol w:w="1080"/>
        <w:gridCol w:w="1080"/>
      </w:tblGrid>
      <w:tr w14:paraId="054EA87C">
        <w:tblPrEx>
          <w:tblCellMar>
            <w:top w:w="0" w:type="dxa"/>
            <w:left w:w="108" w:type="dxa"/>
            <w:bottom w:w="0" w:type="dxa"/>
            <w:right w:w="108" w:type="dxa"/>
          </w:tblCellMar>
        </w:tblPrEx>
        <w:trPr>
          <w:trHeight w:val="295" w:hRule="atLeast"/>
        </w:trPr>
        <w:tc>
          <w:tcPr>
            <w:tcW w:w="3227" w:type="dxa"/>
            <w:tcBorders>
              <w:top w:val="single" w:color="auto" w:sz="4" w:space="0"/>
              <w:left w:val="nil"/>
              <w:bottom w:val="single" w:color="auto" w:sz="4" w:space="0"/>
              <w:right w:val="nil"/>
            </w:tcBorders>
            <w:shd w:val="clear" w:color="auto" w:fill="auto"/>
            <w:noWrap/>
            <w:vAlign w:val="bottom"/>
          </w:tcPr>
          <w:p w14:paraId="31C6EA60">
            <w:pPr>
              <w:spacing w:after="0" w:line="240" w:lineRule="auto"/>
              <w:jc w:val="both"/>
              <w:rPr>
                <w:rFonts w:ascii="Times New Roman" w:hAnsi="Times New Roman" w:eastAsia="Calibri" w:cs="Times New Roman"/>
                <w:sz w:val="20"/>
                <w:szCs w:val="20"/>
              </w:rPr>
            </w:pPr>
            <w:bookmarkStart w:id="3" w:name="_Hlk179155944"/>
            <w:r>
              <w:rPr>
                <w:rFonts w:ascii="Times New Roman" w:hAnsi="Times New Roman" w:eastAsia="Calibri" w:cs="Times New Roman"/>
                <w:sz w:val="20"/>
                <w:szCs w:val="20"/>
              </w:rPr>
              <w:t>Variable</w:t>
            </w:r>
          </w:p>
        </w:tc>
        <w:tc>
          <w:tcPr>
            <w:tcW w:w="1184" w:type="dxa"/>
            <w:tcBorders>
              <w:top w:val="single" w:color="auto" w:sz="4" w:space="0"/>
              <w:left w:val="nil"/>
              <w:bottom w:val="single" w:color="auto" w:sz="4" w:space="0"/>
              <w:right w:val="nil"/>
            </w:tcBorders>
            <w:shd w:val="clear" w:color="auto" w:fill="auto"/>
            <w:noWrap/>
            <w:vAlign w:val="bottom"/>
          </w:tcPr>
          <w:p w14:paraId="371A3D1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B</w:t>
            </w:r>
          </w:p>
        </w:tc>
        <w:tc>
          <w:tcPr>
            <w:tcW w:w="1184" w:type="dxa"/>
            <w:tcBorders>
              <w:top w:val="single" w:color="auto" w:sz="4" w:space="0"/>
              <w:left w:val="nil"/>
              <w:bottom w:val="single" w:color="auto" w:sz="4" w:space="0"/>
              <w:right w:val="nil"/>
            </w:tcBorders>
            <w:shd w:val="clear" w:color="auto" w:fill="auto"/>
            <w:noWrap/>
            <w:vAlign w:val="bottom"/>
          </w:tcPr>
          <w:p w14:paraId="04A5870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S.E.</w:t>
            </w:r>
          </w:p>
        </w:tc>
        <w:tc>
          <w:tcPr>
            <w:tcW w:w="1080" w:type="dxa"/>
            <w:tcBorders>
              <w:top w:val="single" w:color="auto" w:sz="4" w:space="0"/>
              <w:left w:val="nil"/>
              <w:bottom w:val="single" w:color="auto" w:sz="4" w:space="0"/>
              <w:right w:val="nil"/>
            </w:tcBorders>
            <w:shd w:val="clear" w:color="auto" w:fill="auto"/>
            <w:noWrap/>
            <w:vAlign w:val="bottom"/>
          </w:tcPr>
          <w:p w14:paraId="5D38CBF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Wald</w:t>
            </w:r>
          </w:p>
        </w:tc>
        <w:tc>
          <w:tcPr>
            <w:tcW w:w="1080" w:type="dxa"/>
            <w:tcBorders>
              <w:top w:val="single" w:color="auto" w:sz="4" w:space="0"/>
              <w:left w:val="nil"/>
              <w:bottom w:val="single" w:color="auto" w:sz="4" w:space="0"/>
              <w:right w:val="nil"/>
            </w:tcBorders>
            <w:shd w:val="clear" w:color="auto" w:fill="auto"/>
            <w:noWrap/>
            <w:vAlign w:val="bottom"/>
          </w:tcPr>
          <w:p w14:paraId="66F588B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Sig.</w:t>
            </w:r>
          </w:p>
        </w:tc>
        <w:tc>
          <w:tcPr>
            <w:tcW w:w="1080" w:type="dxa"/>
            <w:tcBorders>
              <w:top w:val="single" w:color="auto" w:sz="4" w:space="0"/>
              <w:left w:val="nil"/>
              <w:bottom w:val="single" w:color="auto" w:sz="4" w:space="0"/>
              <w:right w:val="nil"/>
            </w:tcBorders>
            <w:shd w:val="clear" w:color="auto" w:fill="auto"/>
            <w:noWrap/>
            <w:vAlign w:val="bottom"/>
          </w:tcPr>
          <w:p w14:paraId="748AA0F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Odd Ratio</w:t>
            </w:r>
          </w:p>
        </w:tc>
      </w:tr>
      <w:tr w14:paraId="5441CDFB">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35A254B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Constant</w:t>
            </w:r>
          </w:p>
        </w:tc>
        <w:tc>
          <w:tcPr>
            <w:tcW w:w="1184" w:type="dxa"/>
            <w:tcBorders>
              <w:top w:val="nil"/>
              <w:left w:val="nil"/>
              <w:bottom w:val="nil"/>
              <w:right w:val="nil"/>
            </w:tcBorders>
            <w:shd w:val="clear" w:color="auto" w:fill="auto"/>
            <w:noWrap/>
            <w:vAlign w:val="bottom"/>
          </w:tcPr>
          <w:p w14:paraId="2F98EF1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-6.599</w:t>
            </w:r>
          </w:p>
        </w:tc>
        <w:tc>
          <w:tcPr>
            <w:tcW w:w="1184" w:type="dxa"/>
            <w:tcBorders>
              <w:top w:val="nil"/>
              <w:left w:val="nil"/>
              <w:bottom w:val="nil"/>
              <w:right w:val="nil"/>
            </w:tcBorders>
            <w:shd w:val="clear" w:color="auto" w:fill="auto"/>
            <w:noWrap/>
            <w:vAlign w:val="bottom"/>
          </w:tcPr>
          <w:p w14:paraId="1919DDF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2.763</w:t>
            </w:r>
          </w:p>
        </w:tc>
        <w:tc>
          <w:tcPr>
            <w:tcW w:w="1080" w:type="dxa"/>
            <w:tcBorders>
              <w:top w:val="nil"/>
              <w:left w:val="nil"/>
              <w:bottom w:val="nil"/>
              <w:right w:val="nil"/>
            </w:tcBorders>
            <w:shd w:val="clear" w:color="auto" w:fill="auto"/>
            <w:noWrap/>
            <w:vAlign w:val="bottom"/>
          </w:tcPr>
          <w:p w14:paraId="1065099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5.706</w:t>
            </w:r>
          </w:p>
        </w:tc>
        <w:tc>
          <w:tcPr>
            <w:tcW w:w="1080" w:type="dxa"/>
            <w:tcBorders>
              <w:top w:val="nil"/>
              <w:left w:val="nil"/>
              <w:bottom w:val="nil"/>
              <w:right w:val="nil"/>
            </w:tcBorders>
            <w:shd w:val="clear" w:color="auto" w:fill="auto"/>
            <w:noWrap/>
            <w:vAlign w:val="bottom"/>
          </w:tcPr>
          <w:p w14:paraId="0F2D12C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0.017</w:t>
            </w:r>
          </w:p>
        </w:tc>
        <w:tc>
          <w:tcPr>
            <w:tcW w:w="1080" w:type="dxa"/>
            <w:tcBorders>
              <w:top w:val="nil"/>
              <w:left w:val="nil"/>
              <w:bottom w:val="nil"/>
              <w:right w:val="nil"/>
            </w:tcBorders>
            <w:shd w:val="clear" w:color="auto" w:fill="auto"/>
            <w:noWrap/>
            <w:vAlign w:val="bottom"/>
          </w:tcPr>
          <w:p w14:paraId="4F358BD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0.001</w:t>
            </w:r>
          </w:p>
        </w:tc>
      </w:tr>
      <w:tr w14:paraId="226DFCB7">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7B87F61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Education</w:t>
            </w:r>
          </w:p>
        </w:tc>
        <w:tc>
          <w:tcPr>
            <w:tcW w:w="1184" w:type="dxa"/>
            <w:tcBorders>
              <w:top w:val="nil"/>
              <w:left w:val="nil"/>
              <w:bottom w:val="nil"/>
              <w:right w:val="nil"/>
            </w:tcBorders>
            <w:shd w:val="clear" w:color="auto" w:fill="auto"/>
            <w:noWrap/>
            <w:vAlign w:val="bottom"/>
          </w:tcPr>
          <w:p w14:paraId="29F8BD6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0.349</w:t>
            </w:r>
          </w:p>
        </w:tc>
        <w:tc>
          <w:tcPr>
            <w:tcW w:w="1184" w:type="dxa"/>
            <w:tcBorders>
              <w:top w:val="nil"/>
              <w:left w:val="nil"/>
              <w:bottom w:val="nil"/>
              <w:right w:val="nil"/>
            </w:tcBorders>
            <w:shd w:val="clear" w:color="auto" w:fill="auto"/>
            <w:noWrap/>
            <w:vAlign w:val="bottom"/>
          </w:tcPr>
          <w:p w14:paraId="4685F0C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0.18</w:t>
            </w:r>
          </w:p>
        </w:tc>
        <w:tc>
          <w:tcPr>
            <w:tcW w:w="1080" w:type="dxa"/>
            <w:tcBorders>
              <w:top w:val="nil"/>
              <w:left w:val="nil"/>
              <w:bottom w:val="nil"/>
              <w:right w:val="nil"/>
            </w:tcBorders>
            <w:shd w:val="clear" w:color="auto" w:fill="auto"/>
            <w:noWrap/>
            <w:vAlign w:val="bottom"/>
          </w:tcPr>
          <w:p w14:paraId="1B73DC0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3.763</w:t>
            </w:r>
          </w:p>
        </w:tc>
        <w:tc>
          <w:tcPr>
            <w:tcW w:w="1080" w:type="dxa"/>
            <w:tcBorders>
              <w:top w:val="nil"/>
              <w:left w:val="nil"/>
              <w:bottom w:val="nil"/>
              <w:right w:val="nil"/>
            </w:tcBorders>
            <w:shd w:val="clear" w:color="auto" w:fill="auto"/>
            <w:noWrap/>
            <w:vAlign w:val="bottom"/>
          </w:tcPr>
          <w:p w14:paraId="46CC3C6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0.052</w:t>
            </w:r>
          </w:p>
        </w:tc>
        <w:tc>
          <w:tcPr>
            <w:tcW w:w="1080" w:type="dxa"/>
            <w:tcBorders>
              <w:top w:val="nil"/>
              <w:left w:val="nil"/>
              <w:bottom w:val="nil"/>
              <w:right w:val="nil"/>
            </w:tcBorders>
            <w:shd w:val="clear" w:color="auto" w:fill="auto"/>
            <w:noWrap/>
            <w:vAlign w:val="bottom"/>
          </w:tcPr>
          <w:p w14:paraId="24350E3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1.417</w:t>
            </w:r>
          </w:p>
        </w:tc>
      </w:tr>
      <w:tr w14:paraId="1C7D0621">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7084B19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Farming Business Experience</w:t>
            </w:r>
          </w:p>
        </w:tc>
        <w:tc>
          <w:tcPr>
            <w:tcW w:w="1184" w:type="dxa"/>
            <w:tcBorders>
              <w:top w:val="nil"/>
              <w:left w:val="nil"/>
              <w:bottom w:val="nil"/>
              <w:right w:val="nil"/>
            </w:tcBorders>
            <w:shd w:val="clear" w:color="auto" w:fill="auto"/>
            <w:noWrap/>
            <w:vAlign w:val="bottom"/>
          </w:tcPr>
          <w:p w14:paraId="2D9D3DF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0.246</w:t>
            </w:r>
          </w:p>
        </w:tc>
        <w:tc>
          <w:tcPr>
            <w:tcW w:w="1184" w:type="dxa"/>
            <w:tcBorders>
              <w:top w:val="nil"/>
              <w:left w:val="nil"/>
              <w:bottom w:val="nil"/>
              <w:right w:val="nil"/>
            </w:tcBorders>
            <w:shd w:val="clear" w:color="auto" w:fill="auto"/>
            <w:noWrap/>
            <w:vAlign w:val="bottom"/>
          </w:tcPr>
          <w:p w14:paraId="045F771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0.127</w:t>
            </w:r>
          </w:p>
        </w:tc>
        <w:tc>
          <w:tcPr>
            <w:tcW w:w="1080" w:type="dxa"/>
            <w:tcBorders>
              <w:top w:val="nil"/>
              <w:left w:val="nil"/>
              <w:bottom w:val="nil"/>
              <w:right w:val="nil"/>
            </w:tcBorders>
            <w:shd w:val="clear" w:color="auto" w:fill="auto"/>
            <w:noWrap/>
            <w:vAlign w:val="bottom"/>
          </w:tcPr>
          <w:p w14:paraId="5D695E7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3.721</w:t>
            </w:r>
          </w:p>
        </w:tc>
        <w:tc>
          <w:tcPr>
            <w:tcW w:w="1080" w:type="dxa"/>
            <w:tcBorders>
              <w:top w:val="nil"/>
              <w:left w:val="nil"/>
              <w:bottom w:val="nil"/>
              <w:right w:val="nil"/>
            </w:tcBorders>
            <w:shd w:val="clear" w:color="auto" w:fill="auto"/>
            <w:noWrap/>
            <w:vAlign w:val="bottom"/>
          </w:tcPr>
          <w:p w14:paraId="2E59C74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0.054</w:t>
            </w:r>
          </w:p>
        </w:tc>
        <w:tc>
          <w:tcPr>
            <w:tcW w:w="1080" w:type="dxa"/>
            <w:tcBorders>
              <w:top w:val="nil"/>
              <w:left w:val="nil"/>
              <w:bottom w:val="nil"/>
              <w:right w:val="nil"/>
            </w:tcBorders>
            <w:shd w:val="clear" w:color="auto" w:fill="auto"/>
            <w:noWrap/>
            <w:vAlign w:val="bottom"/>
          </w:tcPr>
          <w:p w14:paraId="453EFD0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1.278</w:t>
            </w:r>
          </w:p>
        </w:tc>
      </w:tr>
      <w:tr w14:paraId="57C916FD">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0360CFA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Number of Family Dependents</w:t>
            </w:r>
          </w:p>
        </w:tc>
        <w:tc>
          <w:tcPr>
            <w:tcW w:w="1184" w:type="dxa"/>
            <w:tcBorders>
              <w:top w:val="nil"/>
              <w:left w:val="nil"/>
              <w:bottom w:val="nil"/>
              <w:right w:val="nil"/>
            </w:tcBorders>
            <w:shd w:val="clear" w:color="auto" w:fill="auto"/>
            <w:noWrap/>
            <w:vAlign w:val="bottom"/>
          </w:tcPr>
          <w:p w14:paraId="340AB48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-0.817</w:t>
            </w:r>
          </w:p>
        </w:tc>
        <w:tc>
          <w:tcPr>
            <w:tcW w:w="1184" w:type="dxa"/>
            <w:tcBorders>
              <w:top w:val="nil"/>
              <w:left w:val="nil"/>
              <w:bottom w:val="nil"/>
              <w:right w:val="nil"/>
            </w:tcBorders>
            <w:shd w:val="clear" w:color="auto" w:fill="auto"/>
            <w:noWrap/>
            <w:vAlign w:val="bottom"/>
          </w:tcPr>
          <w:p w14:paraId="19BB57E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0.433</w:t>
            </w:r>
          </w:p>
        </w:tc>
        <w:tc>
          <w:tcPr>
            <w:tcW w:w="1080" w:type="dxa"/>
            <w:tcBorders>
              <w:top w:val="nil"/>
              <w:left w:val="nil"/>
              <w:bottom w:val="nil"/>
              <w:right w:val="nil"/>
            </w:tcBorders>
            <w:shd w:val="clear" w:color="auto" w:fill="auto"/>
            <w:noWrap/>
            <w:vAlign w:val="bottom"/>
          </w:tcPr>
          <w:p w14:paraId="43275A9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3.563</w:t>
            </w:r>
          </w:p>
        </w:tc>
        <w:tc>
          <w:tcPr>
            <w:tcW w:w="1080" w:type="dxa"/>
            <w:tcBorders>
              <w:top w:val="nil"/>
              <w:left w:val="nil"/>
              <w:bottom w:val="nil"/>
              <w:right w:val="nil"/>
            </w:tcBorders>
            <w:shd w:val="clear" w:color="auto" w:fill="auto"/>
            <w:noWrap/>
            <w:vAlign w:val="bottom"/>
          </w:tcPr>
          <w:p w14:paraId="57CAEC0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0.059</w:t>
            </w:r>
          </w:p>
        </w:tc>
        <w:tc>
          <w:tcPr>
            <w:tcW w:w="1080" w:type="dxa"/>
            <w:tcBorders>
              <w:top w:val="nil"/>
              <w:left w:val="nil"/>
              <w:bottom w:val="nil"/>
              <w:right w:val="nil"/>
            </w:tcBorders>
            <w:shd w:val="clear" w:color="auto" w:fill="auto"/>
            <w:noWrap/>
            <w:vAlign w:val="bottom"/>
          </w:tcPr>
          <w:p w14:paraId="1ECDC9F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0.442</w:t>
            </w:r>
          </w:p>
        </w:tc>
      </w:tr>
      <w:tr w14:paraId="600F692E">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5883CC1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Large of Cultivated Land</w:t>
            </w:r>
          </w:p>
        </w:tc>
        <w:tc>
          <w:tcPr>
            <w:tcW w:w="1184" w:type="dxa"/>
            <w:tcBorders>
              <w:top w:val="nil"/>
              <w:left w:val="nil"/>
              <w:bottom w:val="nil"/>
              <w:right w:val="nil"/>
            </w:tcBorders>
            <w:shd w:val="clear" w:color="auto" w:fill="auto"/>
            <w:noWrap/>
            <w:vAlign w:val="bottom"/>
          </w:tcPr>
          <w:p w14:paraId="5339629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0.0000</w:t>
            </w:r>
          </w:p>
        </w:tc>
        <w:tc>
          <w:tcPr>
            <w:tcW w:w="1184" w:type="dxa"/>
            <w:tcBorders>
              <w:top w:val="nil"/>
              <w:left w:val="nil"/>
              <w:bottom w:val="nil"/>
              <w:right w:val="nil"/>
            </w:tcBorders>
            <w:shd w:val="clear" w:color="auto" w:fill="auto"/>
            <w:noWrap/>
            <w:vAlign w:val="bottom"/>
          </w:tcPr>
          <w:p w14:paraId="5B87818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0.0000</w:t>
            </w:r>
          </w:p>
        </w:tc>
        <w:tc>
          <w:tcPr>
            <w:tcW w:w="1080" w:type="dxa"/>
            <w:tcBorders>
              <w:top w:val="nil"/>
              <w:left w:val="nil"/>
              <w:bottom w:val="nil"/>
              <w:right w:val="nil"/>
            </w:tcBorders>
            <w:shd w:val="clear" w:color="auto" w:fill="auto"/>
            <w:noWrap/>
            <w:vAlign w:val="bottom"/>
          </w:tcPr>
          <w:p w14:paraId="7881405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2.652</w:t>
            </w:r>
          </w:p>
        </w:tc>
        <w:tc>
          <w:tcPr>
            <w:tcW w:w="1080" w:type="dxa"/>
            <w:tcBorders>
              <w:top w:val="nil"/>
              <w:left w:val="nil"/>
              <w:bottom w:val="nil"/>
              <w:right w:val="nil"/>
            </w:tcBorders>
            <w:shd w:val="clear" w:color="auto" w:fill="auto"/>
            <w:noWrap/>
            <w:vAlign w:val="bottom"/>
          </w:tcPr>
          <w:p w14:paraId="118DD55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0.103</w:t>
            </w:r>
          </w:p>
        </w:tc>
        <w:tc>
          <w:tcPr>
            <w:tcW w:w="1080" w:type="dxa"/>
            <w:tcBorders>
              <w:top w:val="nil"/>
              <w:left w:val="nil"/>
              <w:bottom w:val="nil"/>
              <w:right w:val="nil"/>
            </w:tcBorders>
            <w:shd w:val="clear" w:color="auto" w:fill="auto"/>
            <w:noWrap/>
            <w:vAlign w:val="bottom"/>
          </w:tcPr>
          <w:p w14:paraId="093F64EC">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1.0000</w:t>
            </w:r>
          </w:p>
        </w:tc>
      </w:tr>
      <w:tr w14:paraId="46B0D1A1">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4A42F36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Gain of Inheritance Land</w:t>
            </w:r>
          </w:p>
        </w:tc>
        <w:tc>
          <w:tcPr>
            <w:tcW w:w="1184" w:type="dxa"/>
            <w:tcBorders>
              <w:top w:val="nil"/>
              <w:left w:val="nil"/>
              <w:bottom w:val="nil"/>
              <w:right w:val="nil"/>
            </w:tcBorders>
            <w:shd w:val="clear" w:color="auto" w:fill="auto"/>
            <w:noWrap/>
            <w:vAlign w:val="bottom"/>
          </w:tcPr>
          <w:p w14:paraId="0581CE7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1.059</w:t>
            </w:r>
          </w:p>
        </w:tc>
        <w:tc>
          <w:tcPr>
            <w:tcW w:w="1184" w:type="dxa"/>
            <w:tcBorders>
              <w:top w:val="nil"/>
              <w:left w:val="nil"/>
              <w:bottom w:val="nil"/>
              <w:right w:val="nil"/>
            </w:tcBorders>
            <w:shd w:val="clear" w:color="auto" w:fill="auto"/>
            <w:noWrap/>
            <w:vAlign w:val="bottom"/>
          </w:tcPr>
          <w:p w14:paraId="5FDB006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0.943</w:t>
            </w:r>
          </w:p>
        </w:tc>
        <w:tc>
          <w:tcPr>
            <w:tcW w:w="1080" w:type="dxa"/>
            <w:tcBorders>
              <w:top w:val="nil"/>
              <w:left w:val="nil"/>
              <w:bottom w:val="nil"/>
              <w:right w:val="nil"/>
            </w:tcBorders>
            <w:shd w:val="clear" w:color="auto" w:fill="auto"/>
            <w:noWrap/>
            <w:vAlign w:val="bottom"/>
          </w:tcPr>
          <w:p w14:paraId="6FAB405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1.261</w:t>
            </w:r>
          </w:p>
        </w:tc>
        <w:tc>
          <w:tcPr>
            <w:tcW w:w="1080" w:type="dxa"/>
            <w:tcBorders>
              <w:top w:val="nil"/>
              <w:left w:val="nil"/>
              <w:bottom w:val="nil"/>
              <w:right w:val="nil"/>
            </w:tcBorders>
            <w:shd w:val="clear" w:color="auto" w:fill="auto"/>
            <w:noWrap/>
            <w:vAlign w:val="bottom"/>
          </w:tcPr>
          <w:p w14:paraId="17D02A0A">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0.261</w:t>
            </w:r>
          </w:p>
        </w:tc>
        <w:tc>
          <w:tcPr>
            <w:tcW w:w="1080" w:type="dxa"/>
            <w:tcBorders>
              <w:top w:val="nil"/>
              <w:left w:val="nil"/>
              <w:bottom w:val="nil"/>
              <w:right w:val="nil"/>
            </w:tcBorders>
            <w:shd w:val="clear" w:color="auto" w:fill="auto"/>
            <w:noWrap/>
            <w:vAlign w:val="bottom"/>
          </w:tcPr>
          <w:p w14:paraId="27E992C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2.882</w:t>
            </w:r>
          </w:p>
        </w:tc>
      </w:tr>
      <w:tr w14:paraId="506E92EB">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0866F89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Off-farm Job Access</w:t>
            </w:r>
          </w:p>
        </w:tc>
        <w:tc>
          <w:tcPr>
            <w:tcW w:w="1184" w:type="dxa"/>
            <w:tcBorders>
              <w:top w:val="nil"/>
              <w:left w:val="nil"/>
              <w:bottom w:val="nil"/>
              <w:right w:val="nil"/>
            </w:tcBorders>
            <w:shd w:val="clear" w:color="auto" w:fill="auto"/>
            <w:noWrap/>
            <w:vAlign w:val="bottom"/>
          </w:tcPr>
          <w:p w14:paraId="715A757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1.201</w:t>
            </w:r>
          </w:p>
        </w:tc>
        <w:tc>
          <w:tcPr>
            <w:tcW w:w="1184" w:type="dxa"/>
            <w:tcBorders>
              <w:top w:val="nil"/>
              <w:left w:val="nil"/>
              <w:bottom w:val="nil"/>
              <w:right w:val="nil"/>
            </w:tcBorders>
            <w:shd w:val="clear" w:color="auto" w:fill="auto"/>
            <w:noWrap/>
            <w:vAlign w:val="bottom"/>
          </w:tcPr>
          <w:p w14:paraId="365854A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0.794</w:t>
            </w:r>
          </w:p>
        </w:tc>
        <w:tc>
          <w:tcPr>
            <w:tcW w:w="1080" w:type="dxa"/>
            <w:tcBorders>
              <w:top w:val="nil"/>
              <w:left w:val="nil"/>
              <w:bottom w:val="nil"/>
              <w:right w:val="nil"/>
            </w:tcBorders>
            <w:shd w:val="clear" w:color="auto" w:fill="auto"/>
            <w:noWrap/>
            <w:vAlign w:val="bottom"/>
          </w:tcPr>
          <w:p w14:paraId="75B56EF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2.29</w:t>
            </w:r>
          </w:p>
        </w:tc>
        <w:tc>
          <w:tcPr>
            <w:tcW w:w="1080" w:type="dxa"/>
            <w:tcBorders>
              <w:top w:val="nil"/>
              <w:left w:val="nil"/>
              <w:bottom w:val="nil"/>
              <w:right w:val="nil"/>
            </w:tcBorders>
            <w:shd w:val="clear" w:color="auto" w:fill="auto"/>
            <w:noWrap/>
            <w:vAlign w:val="bottom"/>
          </w:tcPr>
          <w:p w14:paraId="4C6E5504">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0.13</w:t>
            </w:r>
          </w:p>
        </w:tc>
        <w:tc>
          <w:tcPr>
            <w:tcW w:w="1080" w:type="dxa"/>
            <w:tcBorders>
              <w:top w:val="nil"/>
              <w:left w:val="nil"/>
              <w:bottom w:val="nil"/>
              <w:right w:val="nil"/>
            </w:tcBorders>
            <w:shd w:val="clear" w:color="auto" w:fill="auto"/>
            <w:noWrap/>
            <w:vAlign w:val="bottom"/>
          </w:tcPr>
          <w:p w14:paraId="3FC0544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3.324</w:t>
            </w:r>
          </w:p>
        </w:tc>
      </w:tr>
      <w:tr w14:paraId="3034EF77">
        <w:tblPrEx>
          <w:tblCellMar>
            <w:top w:w="0" w:type="dxa"/>
            <w:left w:w="108" w:type="dxa"/>
            <w:bottom w:w="0" w:type="dxa"/>
            <w:right w:w="108" w:type="dxa"/>
          </w:tblCellMar>
        </w:tblPrEx>
        <w:trPr>
          <w:trHeight w:val="295" w:hRule="atLeast"/>
        </w:trPr>
        <w:tc>
          <w:tcPr>
            <w:tcW w:w="3227" w:type="dxa"/>
            <w:tcBorders>
              <w:top w:val="nil"/>
              <w:left w:val="nil"/>
              <w:bottom w:val="nil"/>
              <w:right w:val="nil"/>
            </w:tcBorders>
            <w:shd w:val="clear" w:color="auto" w:fill="auto"/>
            <w:noWrap/>
            <w:vAlign w:val="bottom"/>
          </w:tcPr>
          <w:p w14:paraId="3D071AC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Support from Social Environment</w:t>
            </w:r>
          </w:p>
        </w:tc>
        <w:tc>
          <w:tcPr>
            <w:tcW w:w="1184" w:type="dxa"/>
            <w:tcBorders>
              <w:top w:val="nil"/>
              <w:left w:val="nil"/>
              <w:bottom w:val="nil"/>
              <w:right w:val="nil"/>
            </w:tcBorders>
            <w:shd w:val="clear" w:color="auto" w:fill="auto"/>
            <w:noWrap/>
            <w:vAlign w:val="bottom"/>
          </w:tcPr>
          <w:p w14:paraId="549A791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2.368</w:t>
            </w:r>
          </w:p>
        </w:tc>
        <w:tc>
          <w:tcPr>
            <w:tcW w:w="1184" w:type="dxa"/>
            <w:tcBorders>
              <w:top w:val="nil"/>
              <w:left w:val="nil"/>
              <w:bottom w:val="nil"/>
              <w:right w:val="nil"/>
            </w:tcBorders>
            <w:shd w:val="clear" w:color="auto" w:fill="auto"/>
            <w:noWrap/>
            <w:vAlign w:val="bottom"/>
          </w:tcPr>
          <w:p w14:paraId="45234CE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1.034</w:t>
            </w:r>
          </w:p>
        </w:tc>
        <w:tc>
          <w:tcPr>
            <w:tcW w:w="1080" w:type="dxa"/>
            <w:tcBorders>
              <w:top w:val="nil"/>
              <w:left w:val="nil"/>
              <w:bottom w:val="nil"/>
              <w:right w:val="nil"/>
            </w:tcBorders>
            <w:shd w:val="clear" w:color="auto" w:fill="auto"/>
            <w:noWrap/>
            <w:vAlign w:val="bottom"/>
          </w:tcPr>
          <w:p w14:paraId="764B126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5.243</w:t>
            </w:r>
          </w:p>
        </w:tc>
        <w:tc>
          <w:tcPr>
            <w:tcW w:w="1080" w:type="dxa"/>
            <w:tcBorders>
              <w:top w:val="nil"/>
              <w:left w:val="nil"/>
              <w:bottom w:val="nil"/>
              <w:right w:val="nil"/>
            </w:tcBorders>
            <w:shd w:val="clear" w:color="auto" w:fill="auto"/>
            <w:noWrap/>
            <w:vAlign w:val="bottom"/>
          </w:tcPr>
          <w:p w14:paraId="390F339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0.022</w:t>
            </w:r>
          </w:p>
        </w:tc>
        <w:tc>
          <w:tcPr>
            <w:tcW w:w="1080" w:type="dxa"/>
            <w:tcBorders>
              <w:top w:val="nil"/>
              <w:left w:val="nil"/>
              <w:bottom w:val="nil"/>
              <w:right w:val="nil"/>
            </w:tcBorders>
            <w:shd w:val="clear" w:color="auto" w:fill="auto"/>
            <w:noWrap/>
            <w:vAlign w:val="bottom"/>
          </w:tcPr>
          <w:p w14:paraId="173A3CA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10.673</w:t>
            </w:r>
          </w:p>
        </w:tc>
      </w:tr>
      <w:tr w14:paraId="17E4B79A">
        <w:tblPrEx>
          <w:tblCellMar>
            <w:top w:w="0" w:type="dxa"/>
            <w:left w:w="108" w:type="dxa"/>
            <w:bottom w:w="0" w:type="dxa"/>
            <w:right w:w="108" w:type="dxa"/>
          </w:tblCellMar>
        </w:tblPrEx>
        <w:trPr>
          <w:trHeight w:val="295" w:hRule="atLeast"/>
        </w:trPr>
        <w:tc>
          <w:tcPr>
            <w:tcW w:w="3227" w:type="dxa"/>
            <w:tcBorders>
              <w:top w:val="nil"/>
              <w:left w:val="nil"/>
              <w:bottom w:val="single" w:color="auto" w:sz="4" w:space="0"/>
              <w:right w:val="nil"/>
            </w:tcBorders>
            <w:shd w:val="clear" w:color="auto" w:fill="auto"/>
            <w:noWrap/>
            <w:vAlign w:val="bottom"/>
          </w:tcPr>
          <w:p w14:paraId="79D36F2F">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Participation of Farmer Group</w:t>
            </w:r>
          </w:p>
        </w:tc>
        <w:tc>
          <w:tcPr>
            <w:tcW w:w="1184" w:type="dxa"/>
            <w:tcBorders>
              <w:top w:val="nil"/>
              <w:left w:val="nil"/>
              <w:bottom w:val="single" w:color="auto" w:sz="4" w:space="0"/>
              <w:right w:val="nil"/>
            </w:tcBorders>
            <w:shd w:val="clear" w:color="auto" w:fill="auto"/>
            <w:noWrap/>
            <w:vAlign w:val="bottom"/>
          </w:tcPr>
          <w:p w14:paraId="3F5D5ECD">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-1.277</w:t>
            </w:r>
          </w:p>
        </w:tc>
        <w:tc>
          <w:tcPr>
            <w:tcW w:w="1184" w:type="dxa"/>
            <w:tcBorders>
              <w:top w:val="nil"/>
              <w:left w:val="nil"/>
              <w:bottom w:val="single" w:color="auto" w:sz="4" w:space="0"/>
              <w:right w:val="nil"/>
            </w:tcBorders>
            <w:shd w:val="clear" w:color="auto" w:fill="auto"/>
            <w:noWrap/>
            <w:vAlign w:val="bottom"/>
          </w:tcPr>
          <w:p w14:paraId="7C0ABAB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1.032</w:t>
            </w:r>
          </w:p>
        </w:tc>
        <w:tc>
          <w:tcPr>
            <w:tcW w:w="1080" w:type="dxa"/>
            <w:tcBorders>
              <w:top w:val="nil"/>
              <w:left w:val="nil"/>
              <w:bottom w:val="single" w:color="auto" w:sz="4" w:space="0"/>
              <w:right w:val="nil"/>
            </w:tcBorders>
            <w:shd w:val="clear" w:color="auto" w:fill="auto"/>
            <w:noWrap/>
            <w:vAlign w:val="bottom"/>
          </w:tcPr>
          <w:p w14:paraId="42A9A29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1.532</w:t>
            </w:r>
          </w:p>
        </w:tc>
        <w:tc>
          <w:tcPr>
            <w:tcW w:w="1080" w:type="dxa"/>
            <w:tcBorders>
              <w:top w:val="nil"/>
              <w:left w:val="nil"/>
              <w:bottom w:val="single" w:color="auto" w:sz="4" w:space="0"/>
              <w:right w:val="nil"/>
            </w:tcBorders>
            <w:shd w:val="clear" w:color="auto" w:fill="auto"/>
            <w:noWrap/>
            <w:vAlign w:val="bottom"/>
          </w:tcPr>
          <w:p w14:paraId="00CF9057">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0.216</w:t>
            </w:r>
          </w:p>
        </w:tc>
        <w:tc>
          <w:tcPr>
            <w:tcW w:w="1080" w:type="dxa"/>
            <w:tcBorders>
              <w:top w:val="nil"/>
              <w:left w:val="nil"/>
              <w:bottom w:val="single" w:color="auto" w:sz="4" w:space="0"/>
              <w:right w:val="nil"/>
            </w:tcBorders>
            <w:shd w:val="clear" w:color="auto" w:fill="auto"/>
            <w:noWrap/>
            <w:vAlign w:val="bottom"/>
          </w:tcPr>
          <w:p w14:paraId="35E11B65">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0.279</w:t>
            </w:r>
          </w:p>
        </w:tc>
      </w:tr>
      <w:tr w14:paraId="0AED51DB">
        <w:tblPrEx>
          <w:tblCellMar>
            <w:top w:w="0" w:type="dxa"/>
            <w:left w:w="108" w:type="dxa"/>
            <w:bottom w:w="0" w:type="dxa"/>
            <w:right w:w="108" w:type="dxa"/>
          </w:tblCellMar>
        </w:tblPrEx>
        <w:trPr>
          <w:trHeight w:val="295" w:hRule="atLeast"/>
        </w:trPr>
        <w:tc>
          <w:tcPr>
            <w:tcW w:w="3227" w:type="dxa"/>
            <w:tcBorders>
              <w:top w:val="single" w:color="auto" w:sz="4" w:space="0"/>
              <w:left w:val="nil"/>
              <w:right w:val="nil"/>
            </w:tcBorders>
            <w:shd w:val="clear" w:color="auto" w:fill="auto"/>
            <w:noWrap/>
            <w:vAlign w:val="bottom"/>
          </w:tcPr>
          <w:p w14:paraId="3C645FF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Omnibus Test</w:t>
            </w:r>
          </w:p>
        </w:tc>
        <w:tc>
          <w:tcPr>
            <w:tcW w:w="1184" w:type="dxa"/>
            <w:tcBorders>
              <w:top w:val="single" w:color="auto" w:sz="4" w:space="0"/>
              <w:left w:val="nil"/>
              <w:right w:val="nil"/>
            </w:tcBorders>
            <w:shd w:val="clear" w:color="auto" w:fill="auto"/>
            <w:noWrap/>
            <w:vAlign w:val="bottom"/>
          </w:tcPr>
          <w:p w14:paraId="71C187F3">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23.595</w:t>
            </w:r>
          </w:p>
        </w:tc>
        <w:tc>
          <w:tcPr>
            <w:tcW w:w="1184" w:type="dxa"/>
            <w:tcBorders>
              <w:top w:val="single" w:color="auto" w:sz="4" w:space="0"/>
              <w:left w:val="nil"/>
              <w:right w:val="nil"/>
            </w:tcBorders>
            <w:shd w:val="clear" w:color="auto" w:fill="auto"/>
            <w:noWrap/>
            <w:vAlign w:val="bottom"/>
          </w:tcPr>
          <w:p w14:paraId="2889689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0.003</w:t>
            </w:r>
          </w:p>
        </w:tc>
        <w:tc>
          <w:tcPr>
            <w:tcW w:w="1080" w:type="dxa"/>
            <w:tcBorders>
              <w:top w:val="single" w:color="auto" w:sz="4" w:space="0"/>
              <w:left w:val="nil"/>
              <w:right w:val="nil"/>
            </w:tcBorders>
            <w:shd w:val="clear" w:color="auto" w:fill="auto"/>
            <w:noWrap/>
            <w:vAlign w:val="bottom"/>
          </w:tcPr>
          <w:p w14:paraId="3A7E57AD">
            <w:pPr>
              <w:spacing w:after="0" w:line="240" w:lineRule="auto"/>
              <w:jc w:val="both"/>
              <w:rPr>
                <w:rFonts w:ascii="Times New Roman" w:hAnsi="Times New Roman" w:eastAsia="Calibri" w:cs="Times New Roman"/>
                <w:sz w:val="20"/>
                <w:szCs w:val="20"/>
              </w:rPr>
            </w:pPr>
          </w:p>
        </w:tc>
        <w:tc>
          <w:tcPr>
            <w:tcW w:w="1080" w:type="dxa"/>
            <w:tcBorders>
              <w:top w:val="single" w:color="auto" w:sz="4" w:space="0"/>
              <w:left w:val="nil"/>
              <w:right w:val="nil"/>
            </w:tcBorders>
            <w:shd w:val="clear" w:color="auto" w:fill="auto"/>
            <w:noWrap/>
            <w:vAlign w:val="bottom"/>
          </w:tcPr>
          <w:p w14:paraId="1BF65421">
            <w:pPr>
              <w:spacing w:after="0" w:line="240" w:lineRule="auto"/>
              <w:jc w:val="both"/>
              <w:rPr>
                <w:rFonts w:ascii="Times New Roman" w:hAnsi="Times New Roman" w:eastAsia="Calibri" w:cs="Times New Roman"/>
                <w:sz w:val="20"/>
                <w:szCs w:val="20"/>
              </w:rPr>
            </w:pPr>
          </w:p>
        </w:tc>
        <w:tc>
          <w:tcPr>
            <w:tcW w:w="1080" w:type="dxa"/>
            <w:tcBorders>
              <w:top w:val="single" w:color="auto" w:sz="4" w:space="0"/>
              <w:left w:val="nil"/>
              <w:right w:val="nil"/>
            </w:tcBorders>
            <w:shd w:val="clear" w:color="auto" w:fill="auto"/>
            <w:noWrap/>
            <w:vAlign w:val="bottom"/>
          </w:tcPr>
          <w:p w14:paraId="54062604">
            <w:pPr>
              <w:spacing w:after="0" w:line="240" w:lineRule="auto"/>
              <w:jc w:val="both"/>
              <w:rPr>
                <w:rFonts w:ascii="Times New Roman" w:hAnsi="Times New Roman" w:eastAsia="Calibri" w:cs="Times New Roman"/>
                <w:sz w:val="20"/>
                <w:szCs w:val="20"/>
              </w:rPr>
            </w:pPr>
          </w:p>
        </w:tc>
      </w:tr>
      <w:tr w14:paraId="6EE145C4">
        <w:tblPrEx>
          <w:tblCellMar>
            <w:top w:w="0" w:type="dxa"/>
            <w:left w:w="108" w:type="dxa"/>
            <w:bottom w:w="0" w:type="dxa"/>
            <w:right w:w="108" w:type="dxa"/>
          </w:tblCellMar>
        </w:tblPrEx>
        <w:trPr>
          <w:trHeight w:val="295" w:hRule="atLeast"/>
        </w:trPr>
        <w:tc>
          <w:tcPr>
            <w:tcW w:w="3227" w:type="dxa"/>
            <w:tcBorders>
              <w:left w:val="nil"/>
              <w:right w:val="nil"/>
            </w:tcBorders>
            <w:shd w:val="clear" w:color="auto" w:fill="auto"/>
            <w:noWrap/>
            <w:vAlign w:val="bottom"/>
          </w:tcPr>
          <w:p w14:paraId="4D69EF5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Hosmer &amp; Lemeshow test</w:t>
            </w:r>
          </w:p>
        </w:tc>
        <w:tc>
          <w:tcPr>
            <w:tcW w:w="1184" w:type="dxa"/>
            <w:tcBorders>
              <w:left w:val="nil"/>
              <w:right w:val="nil"/>
            </w:tcBorders>
            <w:shd w:val="clear" w:color="auto" w:fill="auto"/>
            <w:noWrap/>
            <w:vAlign w:val="bottom"/>
          </w:tcPr>
          <w:p w14:paraId="740F999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3.868093</w:t>
            </w:r>
          </w:p>
        </w:tc>
        <w:tc>
          <w:tcPr>
            <w:tcW w:w="1184" w:type="dxa"/>
            <w:tcBorders>
              <w:left w:val="nil"/>
              <w:right w:val="nil"/>
            </w:tcBorders>
            <w:shd w:val="clear" w:color="auto" w:fill="auto"/>
            <w:noWrap/>
            <w:vAlign w:val="bottom"/>
          </w:tcPr>
          <w:p w14:paraId="158456E1">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0.794839</w:t>
            </w:r>
          </w:p>
        </w:tc>
        <w:tc>
          <w:tcPr>
            <w:tcW w:w="1080" w:type="dxa"/>
            <w:tcBorders>
              <w:left w:val="nil"/>
              <w:right w:val="nil"/>
            </w:tcBorders>
            <w:shd w:val="clear" w:color="auto" w:fill="auto"/>
            <w:noWrap/>
            <w:vAlign w:val="bottom"/>
          </w:tcPr>
          <w:p w14:paraId="1105B68E">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080" w:type="dxa"/>
            <w:tcBorders>
              <w:left w:val="nil"/>
              <w:right w:val="nil"/>
            </w:tcBorders>
            <w:shd w:val="clear" w:color="auto" w:fill="auto"/>
            <w:noWrap/>
            <w:vAlign w:val="bottom"/>
          </w:tcPr>
          <w:p w14:paraId="23391DA2">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080" w:type="dxa"/>
            <w:tcBorders>
              <w:left w:val="nil"/>
              <w:right w:val="nil"/>
            </w:tcBorders>
            <w:shd w:val="clear" w:color="auto" w:fill="auto"/>
            <w:noWrap/>
            <w:vAlign w:val="bottom"/>
          </w:tcPr>
          <w:p w14:paraId="6132A49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r>
      <w:tr w14:paraId="0B570D66">
        <w:tblPrEx>
          <w:tblCellMar>
            <w:top w:w="0" w:type="dxa"/>
            <w:left w:w="108" w:type="dxa"/>
            <w:bottom w:w="0" w:type="dxa"/>
            <w:right w:w="108" w:type="dxa"/>
          </w:tblCellMar>
        </w:tblPrEx>
        <w:trPr>
          <w:trHeight w:val="295" w:hRule="atLeast"/>
        </w:trPr>
        <w:tc>
          <w:tcPr>
            <w:tcW w:w="3227" w:type="dxa"/>
            <w:tcBorders>
              <w:left w:val="nil"/>
              <w:bottom w:val="single" w:color="auto" w:sz="4" w:space="0"/>
              <w:right w:val="nil"/>
            </w:tcBorders>
            <w:shd w:val="clear" w:color="auto" w:fill="auto"/>
            <w:noWrap/>
            <w:vAlign w:val="bottom"/>
          </w:tcPr>
          <w:p w14:paraId="533E554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Nagelkerke R Square</w:t>
            </w:r>
          </w:p>
        </w:tc>
        <w:tc>
          <w:tcPr>
            <w:tcW w:w="1184" w:type="dxa"/>
            <w:tcBorders>
              <w:left w:val="nil"/>
              <w:bottom w:val="single" w:color="auto" w:sz="4" w:space="0"/>
              <w:right w:val="nil"/>
            </w:tcBorders>
            <w:shd w:val="clear" w:color="auto" w:fill="auto"/>
            <w:noWrap/>
            <w:vAlign w:val="bottom"/>
          </w:tcPr>
          <w:p w14:paraId="195A8659">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0.526332</w:t>
            </w:r>
          </w:p>
        </w:tc>
        <w:tc>
          <w:tcPr>
            <w:tcW w:w="1184" w:type="dxa"/>
            <w:tcBorders>
              <w:left w:val="nil"/>
              <w:bottom w:val="single" w:color="auto" w:sz="4" w:space="0"/>
              <w:right w:val="nil"/>
            </w:tcBorders>
            <w:shd w:val="clear" w:color="auto" w:fill="auto"/>
            <w:noWrap/>
            <w:vAlign w:val="bottom"/>
          </w:tcPr>
          <w:p w14:paraId="40E0B9F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080" w:type="dxa"/>
            <w:tcBorders>
              <w:left w:val="nil"/>
              <w:bottom w:val="single" w:color="auto" w:sz="4" w:space="0"/>
              <w:right w:val="nil"/>
            </w:tcBorders>
            <w:shd w:val="clear" w:color="auto" w:fill="auto"/>
            <w:noWrap/>
            <w:vAlign w:val="bottom"/>
          </w:tcPr>
          <w:p w14:paraId="084BAE2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080" w:type="dxa"/>
            <w:tcBorders>
              <w:left w:val="nil"/>
              <w:bottom w:val="single" w:color="auto" w:sz="4" w:space="0"/>
              <w:right w:val="nil"/>
            </w:tcBorders>
            <w:shd w:val="clear" w:color="auto" w:fill="auto"/>
            <w:noWrap/>
            <w:vAlign w:val="bottom"/>
          </w:tcPr>
          <w:p w14:paraId="5A63B03B">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c>
          <w:tcPr>
            <w:tcW w:w="1080" w:type="dxa"/>
            <w:tcBorders>
              <w:left w:val="nil"/>
              <w:bottom w:val="single" w:color="auto" w:sz="4" w:space="0"/>
              <w:right w:val="nil"/>
            </w:tcBorders>
            <w:shd w:val="clear" w:color="auto" w:fill="auto"/>
            <w:noWrap/>
            <w:vAlign w:val="bottom"/>
          </w:tcPr>
          <w:p w14:paraId="3D6CA086">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 </w:t>
            </w:r>
          </w:p>
        </w:tc>
      </w:tr>
      <w:bookmarkEnd w:id="3"/>
    </w:tbl>
    <w:p w14:paraId="25A9B7EE">
      <w:pPr>
        <w:spacing w:after="0" w:line="240" w:lineRule="auto"/>
        <w:ind w:firstLine="720"/>
        <w:jc w:val="both"/>
        <w:rPr>
          <w:rFonts w:ascii="Times New Roman" w:hAnsi="Times New Roman" w:cs="Times New Roman"/>
          <w:color w:val="000000" w:themeColor="text1"/>
        </w:rPr>
      </w:pPr>
    </w:p>
    <w:p w14:paraId="7B01EFF0">
      <w:pPr>
        <w:spacing w:after="80" w:line="240" w:lineRule="auto"/>
        <w:ind w:firstLine="720"/>
        <w:jc w:val="both"/>
        <w:rPr>
          <w:rFonts w:ascii="Times New Roman" w:hAnsi="Times New Roman" w:eastAsia="Calibri" w:cs="Times New Roman"/>
          <w:color w:val="000000" w:themeColor="text1"/>
        </w:rPr>
      </w:pPr>
      <w:r>
        <w:rPr>
          <w:rFonts w:ascii="Times New Roman" w:hAnsi="Times New Roman" w:eastAsia="SimSun" w:cs="Times New Roman"/>
          <w:color w:val="000000" w:themeColor="text1"/>
        </w:rPr>
        <w:t xml:space="preserve">The analysis revealed that five variables influence farmers' willingness to stay in agriculture. First, the degree of education has a positive and significant effect (p=0.052), with an odd ratio of 1.417. According to these findings, every year of more formal education increases the likelihood of young farmers remaining in agriculture by 1.4 times. </w:t>
      </w:r>
      <w:r>
        <w:rPr>
          <w:rFonts w:ascii="Times New Roman" w:hAnsi="Times New Roman" w:cs="Times New Roman"/>
          <w:color w:val="000000" w:themeColor="text1"/>
        </w:rPr>
        <w:t xml:space="preserve">Education influences farmers' mindsets, abilities, and knowledge. A person's capacity to use technology improves as their education level increases. Education is critical to transforming subsistence farming into market-oriented farming. The majority of the young farmers in this survey came from farming families. The urge to learn more to better one's quality of life remains strong. Higher education broadens young people's knowledge horizons and helps them understand the mechanics of positive environmental change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{"citationItems":[{"id":"ITEM-1","itemData":{"DOI":"10.20961/agritexts.v42i2.43315","ISSN":"2721-5903","abstract":"This research was aimed to investigate the perception of youth farmers to farmer's job, to investigate the factor of perception formers, and to investigate the relationship of perception-formers factors with the perception of youth to farmer's job.  The  basic  method  used  was  descriptive  analysis  with  survey  technique.  The location of research was determined purposively that is Purworejo Subdistrict Purworejo District. The sample was determined by multistage cluster random sampling technique, as many as 60 youth farmers scattered in three villages namely Pacekelan Village, Ganggeng Village, and Paduroso Village. Data analysis used spearman rank. The results showed that the perception of youth to farmers’ job is 66.67% that youth have good perception on the farmers' job. The factors forming the perception of youth farmers in Purworejo sub district are majority of formal education in the high category, the majority of family environment in the medium category, majority social culture in low category, whereas non-formal education, primary social environment, secondary social  environment  and  cosmopolitan  majority  in  category  very  low. There  is  an intense significant relationship between family environment and socio-culture with youth perception on farmer's work at 99% confidence level, at 95% level there is a significant relationship between work involvement and primary social environment with youth perception on farmer's job, whereas formal education, non-formal education, secondary social and cosmopolitan environments do not have a significant relationship with youth perceptions of farmer's job.","author":[{"dropping-particle":"","family":"Fitriyana","given":"Elya","non-dropping-particle":"","parse-names":false,"suffix":""},{"dropping-particle":"","family":"Wijianto","given":"Arip","non-dropping-particle":"","parse-names":false,"suffix":""},{"dropping-particle":"","family":"Widiyanti","given":"Emi","non-dropping-particle":"","parse-names":false,"suffix":""}],"container-title":"AGRITEXTS: Journal of Agricultural Extension","id":"ITEM-1","issue":"2","issued":{"date-parts":[["2020"]]},"page":"119","title":"Persepsi Pemuda Tani Terhadap Pekerjaan Sebagai Petani Di Kecamatan Purworejo Kabupaten Purworejo","type":"article-journal","volume":"42"},"uris":["http://www.mendeley.com/documents/?uuid=cdb172ee-2524-4781-95a1-198d1e12ebce"]}],"mendeley":{"formattedCitation":"(Fitriyana et al., 2020)","plainTextFormattedCitation":"(Fitriyana et al., 2020)","previouslyFormattedCitation":"[13]"},"properties":{"noteIndex":0},"schema":"https://github.com/citation-style-language/schema/raw/master/csl-citation.json"}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(Fitriyana et al., 2020)</w:t>
      </w:r>
      <w:r>
        <w:rPr>
          <w:rFonts w:ascii="Times New Roman" w:hAnsi="Times New Roman" w:cs="Times New Roman"/>
          <w:color w:val="000000" w:themeColor="text1"/>
        </w:rPr>
        <w:fldChar w:fldCharType="end"/>
      </w:r>
      <w:r>
        <w:rPr>
          <w:rFonts w:ascii="Times New Roman" w:hAnsi="Times New Roman" w:eastAsia="Calibri" w:cs="Times New Roman"/>
          <w:color w:val="000000" w:themeColor="text1"/>
        </w:rPr>
        <w:t xml:space="preserve">. </w:t>
      </w:r>
      <w:r>
        <w:rPr>
          <w:rFonts w:ascii="Times New Roman" w:hAnsi="Times New Roman" w:eastAsia="SimSun" w:cs="Times New Roman"/>
          <w:color w:val="000000" w:themeColor="text1"/>
        </w:rPr>
        <w:t xml:space="preserve">These findings are in line with a study </w:t>
      </w:r>
      <w:r>
        <w:rPr>
          <w:rFonts w:ascii="Times New Roman" w:hAnsi="Times New Roman" w:eastAsia="Calibri" w:cs="Times New Roman"/>
          <w:color w:val="000000" w:themeColor="text1"/>
        </w:rPr>
        <w:t xml:space="preserve"> </w:t>
      </w:r>
      <w:r>
        <w:rPr>
          <w:rFonts w:ascii="Times New Roman" w:hAnsi="Times New Roman" w:eastAsia="Calibri" w:cs="Times New Roman"/>
          <w:color w:val="000000" w:themeColor="text1"/>
        </w:rPr>
        <w:fldChar w:fldCharType="begin" w:fldLock="1"/>
      </w:r>
      <w:r>
        <w:rPr>
          <w:rFonts w:ascii="Times New Roman" w:hAnsi="Times New Roman" w:eastAsia="Calibri" w:cs="Times New Roman"/>
          <w:color w:val="000000" w:themeColor="text1"/>
        </w:rPr>
        <w:instrText xml:space="preserve">ADDIN CSL_CITATION {"citationItems":[{"id":"ITEM-1","itemData":{"DOI":"10.31292/jta.v5i3.195","abstract":"Debat mengenai petani kecil menunjukkan bahwa mereka menjadi bagian dari sistem sosial ekonomi politik yang besar yang selalu harus bernegosiasi dan dipaksa beradaptasi. Tulisan ini akan membahas mengenai dinamika petani kecil dalam konteks eksistensinya di tengah perubahan yang ada serta situasi petani kecil ketika dihadapkan dengan mode pertanian wirausaha yang menjadi bagian dari tipe pertanian modern. Metode penelitian dilakukan dengan kajian pustaka model konseptual. Fokus utama analisis data adalah pada perkembangan mode pertanian di tingkat global untuk kemudian melihat perubahan-perubahan yang terjadi di tataran petani kecil dengan membandingkan contoh-contoh yang ditemukan dalam sumber kepustakaan. Hasil penelitian menunjukkan bahwa petani kecil masih ada baik dalam bentuknya yang murni maupun yang terhibridisasi. Transformasi petani kecil tidak serta merta mengisyaratkan bahwa petani kecil sudah menghilang. Ketika dihadapkan dengan mode pertanian Industrial ataupun pertanian wirausaha, petani kecil meresponsnya secara beragam. Generasi muda adalah bagian dari generasi petani kecil yang lebih adaptif dengan tren pertanian global. Jika pertanian global disebut sebagai pertanian modern dan esensi pembangunan pertanian adalah mentransformasikan dari yang belum atau tidak modern ini menjadi modern, maka generasi muda petani kecil inilah yang akan menjadi bagian dari pembangunan pertanian tersebut.","author":[{"dropping-particle":"","family":"Pujiriyani","given":"Dwi Wulan","non-dropping-particle":"","parse-names":false,"suffix":""}],"container-title":"Tunas Agraria","id":"ITEM-1","issue":"3","issued":{"date-parts":[["2022"]]},"page":"254-267","title":"Generasi baru petani wirausaha: Dinamika petani kecil dalam pertanian global","type":"article-journal","volume":"5"},"uris":["http://www.mendeley.com/documents/?uuid=fab4a3b7-b10c-4f36-9d6e-a45492acc4eb"]}],"mendeley":{"formattedCitation":"(Pujiriyani, 2022)","plainTextFormattedCitation":"(Pujiriyani, 2022)","previouslyFormattedCitation":"[25]"},"properties":{"noteIndex":0},"schema":"https://github.com/citation-style-language/schema/raw/master/csl-citation.json"}</w:instrText>
      </w:r>
      <w:r>
        <w:rPr>
          <w:rFonts w:ascii="Times New Roman" w:hAnsi="Times New Roman" w:eastAsia="Calibri" w:cs="Times New Roman"/>
          <w:color w:val="000000" w:themeColor="text1"/>
        </w:rPr>
        <w:fldChar w:fldCharType="separate"/>
      </w:r>
      <w:r>
        <w:rPr>
          <w:rFonts w:ascii="Times New Roman" w:hAnsi="Times New Roman" w:eastAsia="Calibri" w:cs="Times New Roman"/>
          <w:color w:val="000000" w:themeColor="text1"/>
        </w:rPr>
        <w:t>(Pujiriyani, 2022)</w:t>
      </w:r>
      <w:r>
        <w:rPr>
          <w:rFonts w:ascii="Times New Roman" w:hAnsi="Times New Roman" w:eastAsia="Calibri" w:cs="Times New Roman"/>
          <w:color w:val="000000" w:themeColor="text1"/>
        </w:rPr>
        <w:fldChar w:fldCharType="end"/>
      </w:r>
      <w:r>
        <w:rPr>
          <w:rFonts w:ascii="Times New Roman" w:hAnsi="Times New Roman" w:eastAsia="Calibri" w:cs="Times New Roman"/>
          <w:color w:val="000000" w:themeColor="text1"/>
        </w:rPr>
        <w:t xml:space="preserve"> which discovered that the younger generation who continue their parents' work will be more adaptable to science and technology, allowing them to develop inherited farming companies. However, the findings of this study differ from those of </w:t>
      </w:r>
      <w:r>
        <w:rPr>
          <w:rFonts w:ascii="Times New Roman" w:hAnsi="Times New Roman" w:eastAsia="Calibri" w:cs="Times New Roman"/>
          <w:color w:val="000000" w:themeColor="text1"/>
        </w:rPr>
        <w:fldChar w:fldCharType="begin" w:fldLock="1"/>
      </w:r>
      <w:r>
        <w:rPr>
          <w:rFonts w:ascii="Times New Roman" w:hAnsi="Times New Roman" w:eastAsia="Calibri" w:cs="Times New Roman"/>
          <w:color w:val="000000" w:themeColor="text1"/>
        </w:rPr>
        <w:instrText xml:space="preserve">ADDIN CSL_CITATION {"citationItems":[{"id":"ITEM-1","itemData":{"DOI":"doi: https://doi.org/10.37149/JIMDP.v8i2.206 ANALISIS","author":[{"dropping-particle":"","family":"Yamin","given":"Muhammad","non-dropping-particle":"","parse-names":false,"suffix":""},{"dropping-particle":"","family":"Ayuningsih","given":"Deswita Fajar","non-dropping-particle":"","parse-names":false,"suffix":""}],"container-title":"Jurnal Ilmiah Membangun Desa dan Pertanian","id":"ITEM-1","issue":"2","issued":{"date-parts":[["2023"]]},"page":"68-67","title":"Analisis Minat Anak Petani Padi menajdi Petani Di Desa Pasemah Air Keruh Sumatera Selatan","type":"article-journal","volume":"8"},"uris":["http://www.mendeley.com/documents/?uuid=154f8747-db2c-4cf0-93c8-72e50f747780"]}],"mendeley":{"formattedCitation":"(Yamin &amp; Ayuningsih, 2023)","manualFormatting":"Yamin &amp; Ayuningsih (2023)","plainTextFormattedCitation":"(Yamin &amp; Ayuningsih, 2023)","previouslyFormattedCitation":"[16]"},"properties":{"noteIndex":0},"schema":"https://github.com/citation-style-language/schema/raw/master/csl-citation.json"}</w:instrText>
      </w:r>
      <w:r>
        <w:rPr>
          <w:rFonts w:ascii="Times New Roman" w:hAnsi="Times New Roman" w:eastAsia="Calibri" w:cs="Times New Roman"/>
          <w:color w:val="000000" w:themeColor="text1"/>
        </w:rPr>
        <w:fldChar w:fldCharType="separate"/>
      </w:r>
      <w:r>
        <w:rPr>
          <w:rFonts w:ascii="Times New Roman" w:hAnsi="Times New Roman" w:eastAsia="Calibri" w:cs="Times New Roman"/>
          <w:color w:val="000000" w:themeColor="text1"/>
        </w:rPr>
        <w:t>Yamin &amp; Ayuningsih (2023)</w:t>
      </w:r>
      <w:r>
        <w:rPr>
          <w:rFonts w:ascii="Times New Roman" w:hAnsi="Times New Roman" w:eastAsia="Calibri" w:cs="Times New Roman"/>
          <w:color w:val="000000" w:themeColor="text1"/>
        </w:rPr>
        <w:fldChar w:fldCharType="end"/>
      </w:r>
      <w:r>
        <w:rPr>
          <w:rFonts w:ascii="Times New Roman" w:hAnsi="Times New Roman" w:eastAsia="Calibri" w:cs="Times New Roman"/>
          <w:color w:val="000000" w:themeColor="text1"/>
        </w:rPr>
        <w:t xml:space="preserve"> who found a negative association between education level and willingness to become farmers among young people in Central Java. The younger generation with higher education is less interested in agriculture because they prefer employment that matches their formal degree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{"citationItems":[{"id":"ITEM-1","itemData":{"DOI":"10.33005/jimaemagri.v11i1.7","ISSN":"2085-5788","abstract":"This research aims to determine the causes of the decline in the interest and participation of the younger generation in the agricultural sector and its impact, so that appropriate steps can be taken to improve the situation. The research method used is a literature study with a secondary data collection approach from the library by reading, taking notes, and then processing library materials to be used as discussion and research results. The results of the study show that the decline in interest and participation of the younger generation is caused by negative perceptions of agriculture, urbanization, and modernization, limited access to resources, economic uncertainty, level of education, and changes in social and values. This phenomenon can threaten a country's food security and the sustainability of the agricultural sector, so a comprehensive and sustainable strategy is needed, such as increasing education and training, skills development, infrastructure development and access to resources, increasing economic welfare, promotion and campaigning, and building partnerships and collaboration.","author":[{"dropping-particle":"","family":"Oktaviani","given":"Dewi Anggun","non-dropping-particle":"","parse-names":false,"suffix":""},{"dropping-particle":"","family":"Rozci","given":"Fatchur","non-dropping-particle":"","parse-names":false,"suffix":""}],"container-title":"Jurnal Ilmiah Manajemen Agribisnis","id":"ITEM-1","issue":"1","issued":{"date-parts":[["2024"]]},"page":"48-56","title":"Analisis Penyebab Menurunnya Minat dan Partisipasi Generasi Muda dalam Sektor Pertanian","type":"article-journal","volume":"11"},"uris":["http://www.mendeley.com/documents/?uuid=d3e04419-e82f-4c9b-97f5-2c6860e652fd"]}],"mendeley":{"formattedCitation":"(Oktaviani &amp; Rozci, 2024)","plainTextFormattedCitation":"(Oktaviani &amp; Rozci, 2024)","previouslyFormattedCitation":"[10]"},"properties":{"noteIndex":0},"schema":"https://github.com/citation-style-language/schema/raw/master/csl-citation.json"}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(Oktaviani &amp; Rozci, 2024)</w:t>
      </w:r>
      <w:r>
        <w:rPr>
          <w:rFonts w:ascii="Times New Roman" w:hAnsi="Times New Roman" w:cs="Times New Roman"/>
          <w:color w:val="000000" w:themeColor="text1"/>
        </w:rPr>
        <w:fldChar w:fldCharType="end"/>
      </w:r>
      <w:r>
        <w:rPr>
          <w:rFonts w:ascii="Times New Roman" w:hAnsi="Times New Roman" w:cs="Times New Roman"/>
          <w:color w:val="000000" w:themeColor="text1"/>
        </w:rPr>
        <w:t>. T</w:t>
      </w:r>
      <w:r>
        <w:rPr>
          <w:rFonts w:ascii="Times New Roman" w:hAnsi="Times New Roman" w:eastAsia="SimSun" w:cs="Times New Roman"/>
          <w:color w:val="000000" w:themeColor="text1"/>
        </w:rPr>
        <w:t xml:space="preserve">he findings of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{"citationItems":[{"id":"ITEM-1","itemData":{"DOI":"10.21580/sa.v18i2.18727","ISSN":"1978-5623","abstract":"The declining interest of young people in farming extends beyond the food sector to include the plantation sector, warranting attention. This study addresses the insufficient exploration of the aspirations of plantation sector farmers’ children to pursue farming. The research focuses on analyzing the perceptions of farmers and their offspring regarding continuing rubber farming and identifying influencing factors in Ujung Tanjung Village, Banyuasin III District, Banyuasin Regency, South Sumatra. Employing a random sampling survey method, 36 school-age children were interviewed from a population of 175. Findings indicate that the children’s interest in rubber farming is relatively low (average score: 53.25), influenced by factors such as land area, participation in family farming, and agricultural extension. Although a generational transition in agricultural activities is observed in the village, guidance and counseling remain crucial to address farmer children’s perceptions.","author":[{"dropping-particle":"","family":"Adriani","given":"Dessy","non-dropping-particle":"","parse-names":false,"suffix":""},{"dropping-particle":"","family":"Septiani","given":"Donna","non-dropping-particle":"","parse-names":false,"suffix":""}],"container-title":"Sawwa: Jurnal Studi Gender","id":"ITEM-1","issue":"2","issued":{"date-parts":[["2023"]]},"page":"261-284","title":"Rubber Farmers Children’s Perceptions of Continuing Business between Generations: Case Study in Banyuasin Regency, South Sumatra","type":"article-journal","volume":"18"},"uris":["http://www.mendeley.com/documents/?uuid=23be1ffd-1c12-48f5-87f8-f8c3a6081e53"]}],"mendeley":{"formattedCitation":"(Adriani &amp; Septiani, 2023)","manualFormatting":"Adriani &amp; Septiani (2023)","plainTextFormattedCitation":"(Adriani &amp; Septiani, 2023)","previouslyFormattedCitation":"[26]"},"properties":{"noteIndex":0},"schema":"https://github.com/citation-style-language/schema/raw/master/csl-citation.json"}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Adriani &amp; Septiani (2023)</w:t>
      </w:r>
      <w:r>
        <w:rPr>
          <w:rFonts w:ascii="Times New Roman" w:hAnsi="Times New Roman" w:eastAsia="SimSun" w:cs="Times New Roman"/>
          <w:color w:val="000000" w:themeColor="text1"/>
        </w:rPr>
        <w:fldChar w:fldCharType="end"/>
      </w:r>
      <w:r>
        <w:rPr>
          <w:rFonts w:ascii="Times New Roman" w:hAnsi="Times New Roman" w:cs="Times New Roman"/>
          <w:color w:val="000000" w:themeColor="text1"/>
        </w:rPr>
        <w:t xml:space="preserve"> also showed different results, education had no real impact on the perceptions of farmers' children in continuing rubber farming. This finding can be understood because the perception of young farmers towards the profession as farmers is not formed entirely because of higher education, but the ability to access information is a factor that shapes the perceptions of young farmer groups </w:t>
      </w:r>
      <w:r>
        <w:rPr>
          <w:rFonts w:ascii="Times New Roman" w:hAnsi="Times New Roman" w:eastAsia="SimSu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author":[{"dropping-particle":"","family":"Girdziute","given":"Laura","non-dropping-particle":"","parse-names":false,"suffix":""},{"dropping-particle":"","family":"Besuspariene","given":"Erika","non-dropping-particle":"","parse-names":false,"suffix":""},{"dropping-particle":"","family":"Nausediene","given":"Ausra","non-dropping-particle":"","parse-names":false,"suffix":""},{"dropping-particle":"","family":"Novikova","given":"Anastasija","non-dropping-particle":"","parse-names":false,"suffix":""},{"dropping-particle":"","family":"Leppala","given":"Jarkko","non-dropping-particle":"","parse-names":false,"suffix":""},{"dropping-particle":"","family":"Jakob","given":"Martina","non-dropping-particle":"","parse-names":false,"suffix":""}],"id":"ITEM-1","issue":"1","issued":{"date-parts":[["2019"]]},"title":"Youth ’ s ( Un ) willingness to work in agriculture sector","type":"article-journal"},"uris":["http://www.mendeley.com/documents/?uuid=cc05da86-79cd-4694-95cf-632ee0d9a9e0"]}],"mendeley":{"formattedCitation":"(Girdziute et al., 2019)","plainTextFormattedCitation":"(Girdziute et al., 2019)","previouslyFormattedCitation":"[27]"},"properties":{"noteIndex":0},"schema":"https://github.com/citation-style-language/schema/raw/master/csl-citation.json"}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(Girdziute et al., 2019)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Young farmers still need to improve and increase their education and skills to be able to innovate to increase agricultural productivity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{"citationItems":[{"id":"ITEM-1","itemData":{"DOI":"10.21082/fae.v34n1.2016.35-55","ISSN":"0216-4361","abstract":"&lt;strong&gt;English&lt;/strong&gt;&lt;br /&gt;Qualified human resources with a good commitment to develop agricultural sector is one of the determining factors toward sustainable agricultural development. However, agricultural development deals with significant issue especially reduction in the number of young farmers. This paper aims to review structural changes from perspective of aging farmer and declined number of young farmers in Indonesia and other countries. Specifically, this paper identifies various factors causing the changes and describes the policies needed to support young workers to enter agricultural sector. The method used in this paper is both descriptive analysis and cross tabulation. The results show that aging farmers and young farmers decline in Indonesia keep increasing. The phenomena are also found in other countries in Asia, Europe, America and Australia. Various factors causing lack interest of young workers in agricultural sector, namely less prestigious, high risk, less assurance, unstable earning. Other factors are small size land holding, limited non-agricultural diversification and agricultural processing activities in rural areas, slow farm management succession, and lack of incentive for young farmers. To attract youth to enter agricultural sector, it is necessary to transform youth’s perception that agricultural sector currently is interesting and promising. The government needs to development agricultural industry in rural areas, introduces technology innovation, offers special incentives for young farmers, modernizes agriculture, and conducts training and empowerment of young farmers.&lt;br /&gt;&lt;br /&gt;&lt;br /&gt;&lt;strong&gt;Indonesian&lt;/strong&gt;&lt;br /&gt;Sumber daya manusia yang berkualitas dan memiliki komitmen membangun sektor pertanian merupakan salah satu faktor keberhasilan pembangunan pertanian berkelanjutan. Namun, pembangunan pertanian menghadapi permasalahan cukup serius, yaitu jumlah petani muda terus mengalami penurunan, baik secara absolut maupun relatif, sementara petani usia tua semakin meningkat. Tujuan makalah ini adalah melakukan review tentang perubahan struktural tenaga kerja pertanian dilihat dari fenomena aging farmer dan menurunnya jumlah tenaga kerja usia muda sektor pertanian di Indonesia dan di berbagai negara lainnya, mengidentifikasi berbagai faktor penyebab perubahan tersebut, serta kebijakan yang diperlukan untuk mendukung tenaga kerja muda masuk ke  sektor pertanian. Metode penelitian yang digunakan adalah analisis deskriptif…","author":[{"dropping-particle":"","family":"Susilowati","given":"Sri Hery","non-dropping-particle":"","parse-names":false,"suffix":""}],"container-title":"Forum penelitian Agro Ekonomi","id":"ITEM-1","issue":"1","issued":{"date-parts":[["2016"]]},"page":"35","title":"Fenomena Penuaan Petani dan Berkurangnya Tenaga Kerja Muda serta Implikasinya bagi Kebijakan Pembangunan Pertanian","type":"article-journal","volume":"34"},"uris":["http://www.mendeley.com/documents/?uuid=b0dd9b0f-9487-48f8-ac59-064c3f350658"]},{"id":"ITEM-2","itemData":{"abstract":"… Generasi muda yang telah beraktivitas pada bidang … yang lebih baik dibanding generasi sebelumnya. Agropreneur … baik dari generasi sebelumnya (orang tua) kepada generasi saat …","author":[{"dropping-particle":"","family":"Anwarudin","given":"Oeng","non-dropping-particle":"","parse-names":false,"suffix":""}],"id":"ITEM-2","issued":{"date-parts":[["2021"]]},"page":"1-129","title":"Regenerasi Petani melalui Transformasi Agropreneur Muda","type":"article-journal"},"uris":["http://www.mendeley.com/documents/?uuid=d075dc4b-e0f4-4b91-bb5e-2fc1b0a25470"]}],"mendeley":{"formattedCitation":"(Anwarudin, 2021; Susilowati, 2016)","plainTextFormattedCitation":"(Anwarudin, 2021; Susilowati, 2016)","previouslyFormattedCitation":"[8], [28]"},"properties":{"noteIndex":0},"schema":"https://github.com/citation-style-language/schema/raw/master/csl-citation.json"}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(Anwarudin, 2021; Susilowati, 2016)</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p>
    <w:p w14:paraId="145EB929">
      <w:pPr>
        <w:spacing w:after="80" w:line="240" w:lineRule="auto"/>
        <w:ind w:firstLine="720"/>
        <w:jc w:val="both"/>
        <w:rPr>
          <w:rFonts w:ascii="Times New Roman" w:hAnsi="Times New Roman" w:eastAsia="Calibri" w:cs="Times New Roman"/>
          <w:color w:val="000000" w:themeColor="text1"/>
        </w:rPr>
      </w:pPr>
      <w:r>
        <w:rPr>
          <w:rFonts w:ascii="Times New Roman" w:hAnsi="Times New Roman" w:eastAsia="SimSun" w:cs="Times New Roman"/>
          <w:color w:val="000000" w:themeColor="text1"/>
        </w:rPr>
        <w:t xml:space="preserve">Second, agricultural experience has a favorable and significant effect (p=0.054), with an odd ratio value of 1.278. These findings suggest that adding one year of farming experience increases the likelihood of young farmers remaining farmers by 1.278 times. The length of time spent farming is one of the aspects that indirectly contribute to farmers' overall performance. Farmers with extensive farming expertise will benefit from more complete production facilities, allowing them to boost productivity as compared to farmers with limited farming experience. It is recognized that accumulating experience improves farmers' skills in managing agricultural companies, hence raising interest in participating in and surviving in the farming sector </w:t>
      </w:r>
      <w:r>
        <w:rPr>
          <w:rFonts w:ascii="Times New Roman" w:hAnsi="Times New Roman" w:cs="Times New Roman"/>
          <w:color w:val="000000" w:themeColor="text1"/>
        </w:rPr>
        <w:t xml:space="preserve">(Pujiriyani et al., 2016). </w:t>
      </w:r>
      <w:r>
        <w:rPr>
          <w:rFonts w:ascii="Times New Roman" w:hAnsi="Times New Roman" w:eastAsia="Calibri" w:cs="Times New Roman"/>
          <w:color w:val="000000" w:themeColor="text1"/>
        </w:rPr>
        <w:t>Farming abilities include seeding, hoeing, plowing, planting, weeding, fertilization, insect management, and harvesting. The more farming experience a farmer has, the better the farmer's knowledge to overcome various agricultural challenges.</w:t>
      </w:r>
    </w:p>
    <w:p w14:paraId="10F20DD3">
      <w:pPr>
        <w:spacing w:after="8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Third, the number of family dependents has a negative and substantial effect (p=0.059), with an odd ratio value of 0.442. These findings show that each extra dependent reduces young farmers' willingness to continue in the agriculture sector by 0.442 times. This is frequently associated with young farmers' inability to grow revenue due to a lack of cultivable land. To meet rising household demands, young farmers will temporarily quit the agricultural sector and pursue other employment that yields more income than the agriculture sector. This finding is consistent with the findings of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{"citationItems":[{"id":"ITEM-1","itemData":{"DOI":"10.1590/0103-8478cr20180471","ISSN":"0103-8478","abstract":"ABSTRACT: This study has focused on the factor affecting the exit from farming of young farmers, since it is an important issue in many provinces of Turkey. Data obtained through face-to-face interview method with 85 selected young farmers (aged 15-40 years) engaged in agricultural activity in the Niğde province in 2017. Logistic regression model based upon the dependent variable decision to exit from farming was used to determine relevant factors. According to results, number of children, the presence of house in the city center and the monthly income level has effects to exit from farming. Young farmers have priorities to reach a better life conditions for their children such as better education and health care services. Rural investment support should be increased; entrepreneurship and innovation trainings should be expanded by encouraging training on agriculture. It would be beneficial to develop different applications such as distance learning modules and digital agriculture.RESUMO: Este estudo centrou-se no fator que afeta a saída da agricultura de jovens agricultores, uma vez que é uma questão importante em muitas províncias da Turquia. Dados obtidos através do método de entrevista presencial com 85 jovens agricultores selecionados (com idade entre 15 e 40 anos) envolvidos na atividade agrícola na província de Niğde em 2017. Modelo de regressão logística baseado na variável dependente decisão de sair da agricultura foi usado para determinar fatores relevantes. De acordo com os resultados, o número de crianças, a presença de casa no centro da cidade e o nível de renda mensal tem efeitos para sair da agricultura de jovens agricultores na província de Niğde. Os jovens agricultores têm prioridades para alcançar melhores condições de vida para seus filhos, como melhor educação e serviços de saúde. O apoio ao investimento rural deve ser aumentado e os treinamentos de empreendedorismo e inovação devem ser expandidos, incentivando a capacitação em agricultura. Com isso, seria benéfico desenvolver diferentes aplicações, como módulos de ensino à distância e agricultura digital.","author":[{"dropping-particle":"","family":"Berk","given":"Ali","non-dropping-particle":"","parse-names":false,"suffix":""}],"container-title":"Ciência Rural","id":"ITEM-1","issue":"8","issued":{"date-parts":[["2018"]]},"title":"Factors affecting the exit from farming of young farmers in Turkey: the case of Niğde province","type":"article-journal","volume":"48"},"uris":["http://www.mendeley.com/documents/?uuid=4b49b5bd-09d9-4128-9f01-1a541ba5d7e4"]}],"mendeley":{"formattedCitation":"(Berk, 2018)","manualFormatting":"Berk's study, (2018)","plainTextFormattedCitation":"(Berk, 2018)","previouslyFormattedCitation":"[29]"},"properties":{"noteIndex":0},"schema":"https://github.com/citation-style-language/schema/raw/master/csl-citation.json"}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Berk's study, (2018)</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which discovered that the number of children, the presence of a house in the city center, and the level of monthly income all influence the desire to leave agriculture in Turkey. However, these findings differ from those of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{"citationItems":[{"id":"ITEM-1","itemData":{"DOI":"10.21580/sa.v18i2.18727","ISSN":"1978-5623","abstract":"The declining interest of young people in farming extends beyond the food sector to include the plantation sector, warranting attention. This study addresses the insufficient exploration of the aspirations of plantation sector farmers’ children to pursue farming. The research focuses on analyzing the perceptions of farmers and their offspring regarding continuing rubber farming and identifying influencing factors in Ujung Tanjung Village, Banyuasin III District, Banyuasin Regency, South Sumatra. Employing a random sampling survey method, 36 school-age children were interviewed from a population of 175. Findings indicate that the children’s interest in rubber farming is relatively low (average score: 53.25), influenced by factors such as land area, participation in family farming, and agricultural extension. Although a generational transition in agricultural activities is observed in the village, guidance and counseling remain crucial to address farmer children’s perceptions.","author":[{"dropping-particle":"","family":"Adriani","given":"Dessy","non-dropping-particle":"","parse-names":false,"suffix":""},{"dropping-particle":"","family":"Septiani","given":"Donna","non-dropping-particle":"","parse-names":false,"suffix":""}],"container-title":"Sawwa: Jurnal Studi Gender","id":"ITEM-1","issue":"2","issued":{"date-parts":[["2023"]]},"page":"261-284","title":"Rubber Farmers Children’s Perceptions of Continuing Business between Generations: Case Study in Banyuasin Regency, South Sumatra","type":"article-journal","volume":"18"},"uris":["http://www.mendeley.com/documents/?uuid=23be1ffd-1c12-48f5-87f8-f8c3a6081e53"]}],"mendeley":{"formattedCitation":"(Adriani &amp; Septiani, 2023)","plainTextFormattedCitation":"(Adriani &amp; Septiani, 2023)","previouslyFormattedCitation":"[26]"},"properties":{"noteIndex":0},"schema":"https://github.com/citation-style-language/schema/raw/master/csl-citation.json"}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(Adriani &amp; Septiani, 2023)</w:t>
      </w:r>
      <w:r>
        <w:rPr>
          <w:rFonts w:ascii="Times New Roman" w:hAnsi="Times New Roman" w:eastAsia="SimSun" w:cs="Times New Roman"/>
          <w:color w:val="000000" w:themeColor="text1"/>
        </w:rPr>
        <w:fldChar w:fldCharType="end"/>
      </w:r>
      <w:r>
        <w:rPr>
          <w:rFonts w:ascii="Times New Roman" w:hAnsi="Times New Roman" w:cs="Times New Roman"/>
          <w:color w:val="000000" w:themeColor="text1"/>
        </w:rPr>
        <w:t xml:space="preserve">  who found that the number of family members has no significant effect on farmers' children's enthusiasm for continuing to cultivate rubber.</w:t>
      </w:r>
    </w:p>
    <w:p w14:paraId="31090669">
      <w:pPr>
        <w:spacing w:after="8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 xml:space="preserve"> Fourth, off-farm access has a substantial influence effect (p=0.13) with an odd ratio value of 3.32, implying that there is a gap in opportunities between young farmers who have off-farm access and those who do not. Young farmers who receive off-farm access are 3.3 times more likely to persist in agriculture than those who do not. Off-farm access increases household income, which serves as a risk management tool by mitigating the impact of agricultural income unpredictability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{"citationItems":[{"id":"ITEM-1","itemData":{"ISSN":"0950-382X","PMID":"15752193","abstract":"In Halobacterium salinarum mutants containing either of the light-driven ion pumps bacteriorhodopsin (H(+)) or halorhodopsin (Cl(-)) as their only retinal protein, a decrease of irradiance in the absence of respiration causes a phototactic response. The conversion of the causal event, a decrease of proton motive force across the cell membrane, into a reversal of flagellar motor rotational direction was expected to involve a transducer. Via deletion analysis of all 18 known and putative halobacterial transducer (htr) genes, we found that Htr14, a methylatable membrane-bound transducer lacking an extracellular domain, mediates the biological response, which includes adaptive methylation. Based on a minimal stimulus length of 200 ms and the determined cytoplasmic buffering capacity, we conclude that the change in the membrane potential (DeltaPsi), and not that of the internal pH, is the signal-generating event. Htr14 was therefore renamed to Membrane potential change Transducer, or MpcT. It is the first transducer for which the causative stimulus could be narrowed to a change in DeltaPsi, as opposed to a change in pH or cellular redox state.","author":[{"dropping-particle":"","family":"Bubela","given":"Heidi J","non-dropping-particle":"","parse-names":false,"suffix":""}],"container-title":"Agricultural &amp; Applied Economics Association","id":"ITEM-1","issue":"3","issued":{"date-parts":[["2016"]]},"page":"1-8","title":"Off-farm Income : Managing Risk in Young and Beginning Farmer Households","type":"article-journal","volume":"31"},"uris":["http://www.mendeley.com/documents/?uuid=3e8288c1-f065-4064-b8b7-ebc624020cd4"]}],"mendeley":{"formattedCitation":"(Bubela, 2016)","plainTextFormattedCitation":"(Bubela, 2016)","previouslyFormattedCitation":"[23]"},"properties":{"noteIndex":0},"schema":"https://github.com/citation-style-language/schema/raw/master/csl-citation.json"}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(Bubela, 2016)</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Pr>
          <w:rFonts w:ascii="Times New Roman" w:hAnsi="Times New Roman" w:eastAsia="SimSun" w:cs="Times New Roman"/>
          <w:color w:val="000000" w:themeColor="text1"/>
        </w:rPr>
        <w:t xml:space="preserve"> Even increasing off-farm access consistently improves scale and technical efficiency, raising farmer households' incomes. Off-farm income has an impact not only on finances but also on how time and resources are allocated.  In line with the findings of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 xml:space="preserve">ADDIN CSL_CITATION {"citationItems":[{"id":"ITEM-1","itemData":{"DOI":"10.7160/aol.2023.150204","ISSN":"18041930","abstract":"Young farmers have an important role as the future of food security and sustainable agriculture depends on them. However, the young farmer problem is getting serious all over the world, whether the countries are developed or developing. The objective of this study is to determine the factors that affect the willingness of young farmers to continue agriculture in the future, especially based on social and cultural factors with economic factors. Data were collected from 200 young farmers' questionnaires in İzmir, Turkey, and Niigata, Japan. Using the logistic regression model, we found that social factors play an important role in retaining young farmers in agriculture such as the respectability and importance of farming, and the multifunctional role of farming, along with economic factors such as off-farm job, farmland size, and subsidies. If countries can clarify the importance of farming and food production to young generations, they will make essential contributions to the sustainability of food security and agricultural sustainability.","author":[{"dropping-particle":"","family":"Karahan","given":"Mizgin","non-dropping-particle":"","parse-names":false,"suffix":""},{"dropping-particle":"","family":"Abay","given":"Canan","non-dropping-particle":"","parse-names":false,"suffix":""},{"dropping-particle":"","family":"Ito","given":"Ryoji","non-dropping-particle":"","parse-names":false,"suffix":""}],"container-title":"Agris On-line Papers in Economics and Informatics","id":"ITEM-1","issue":"2","issued":{"date-parts":[["2023"]]},"page":"41-54","title":"Determining Factors of Retaining Young Farmers in Agriculture: A Case study in Turkey and Japan","type":"article","volume":"15"},"uris":["http://www.mendeley.com/documents/?uuid=34bb7a5c-9ff5-4803-950d-0319296799a1"]}],"mendeley":{"formattedCitation":"(Karahan et al., 2023)","manualFormatting":"Karahan et al., (2023)","plainTextFormattedCitation":"(Karahan et al., 2023)","previouslyFormattedCitation":"[2]"},"properties":{"noteIndex":0},"schema":"https://github.com/citation-style-language/schema/raw/master/csl-citation.json"}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Karahan et al., (2023)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in Japan, access to off-farm work, and large ownership of agricultural land are important factors for young farmers to maintain their agricultural activities in the future. The important role of off-farm income not only helps maintain farming households during periods of income volatility but also encourages more young people to enter agricultural production because it can facilitate access to credit</w:t>
      </w:r>
      <w:r>
        <w:rPr>
          <w:rFonts w:ascii="Times New Roman" w:hAnsi="Times New Roman" w:eastAsia="SimSun" w:cs="Times New Roman"/>
          <w:color w:val="000000" w:themeColor="text1"/>
        </w:rPr>
        <w:t xml:space="preserve">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{"citationItems":[{"id":"ITEM-1","itemData":{"author":[{"dropping-particle":"","family":"Nehring, Richard &amp; Hallahan","given":"Charlie","non-dropping-particle":"","parse-names":false,"suffix":""}],"id":"ITEM-1","issued":{"date-parts":[["2016"]]},"publisher":"2016 Annual Meeting, February 6-9, 2016, San Antonio, Texas 230413, Southern Agricultural Economics Association.","title":"The Impacts of Off-Farm Income on Farm Efficiency, Scale, and Profitability Cotton Farms","type":"article"},"uris":["http://www.mendeley.com/documents/?uuid=c66b24aa-6da2-4928-9824-0961e5813119"]}],"mendeley":{"formattedCitation":"(Nehring, Richard &amp; Hallahan, 2016)","plainTextFormattedCitation":"(Nehring, Richard &amp; Hallahan, 2016)","previouslyFormattedCitation":"[30]"},"properties":{"noteIndex":0},"schema":"https://github.com/citation-style-language/schema/raw/master/csl-citation.json"}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(Nehring, Richard &amp; Hallahan, 2016)</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 xml:space="preserve">. </w:t>
      </w:r>
    </w:p>
    <w:p w14:paraId="4247AACF">
      <w:pPr>
        <w:spacing w:after="0" w:line="240" w:lineRule="auto"/>
        <w:ind w:firstLine="720"/>
        <w:jc w:val="both"/>
        <w:rPr>
          <w:rFonts w:ascii="Times New Roman" w:hAnsi="Times New Roman" w:eastAsia="SimSun" w:cs="Times New Roman"/>
          <w:color w:val="000000" w:themeColor="text1"/>
        </w:rPr>
      </w:pPr>
      <w:r>
        <w:rPr>
          <w:rFonts w:ascii="Times New Roman" w:hAnsi="Times New Roman" w:cs="Times New Roman"/>
          <w:color w:val="000000" w:themeColor="text1"/>
        </w:rPr>
        <w:t>Fifth, family and residential social environmental support has a substantial influence effect (p=0.022) with an odd ratio value of 10.673, which means that there is a difference in the chances of young farmers who receive social environmental support and those who do not. Young farmers who receive family and residential social environmental help have a 10.673 times higher chance of survival in the agricultural industry than young farmers who do not receive such support. In addition to family support, there must be residential support for the farming profession, such as agricultural infrastructure assistance. These findings demonstrate that social environmental support is the most important element influencing young farmers' willingness to persist in agriculture. These results reinforce that the role of family support, especially from parental expectations, can also influence the interest of the younger generation in becoming farmers</w:t>
      </w:r>
      <w:r>
        <w:rPr>
          <w:rFonts w:ascii="Times New Roman" w:hAnsi="Times New Roman" w:eastAsia="SimSun" w:cs="Times New Roman"/>
          <w:color w:val="000000" w:themeColor="text1"/>
        </w:rPr>
        <w:t xml:space="preserve"> </w:t>
      </w:r>
      <w:r>
        <w:rPr>
          <w:rFonts w:ascii="Times New Roman" w:hAnsi="Times New Roman" w:eastAsia="SimSun" w:cs="Times New Roman"/>
          <w:color w:val="000000" w:themeColor="text1"/>
        </w:rPr>
        <w:fldChar w:fldCharType="begin" w:fldLock="1"/>
      </w:r>
      <w:r>
        <w:rPr>
          <w:rFonts w:ascii="Times New Roman" w:hAnsi="Times New Roman" w:eastAsia="SimSun" w:cs="Times New Roman"/>
          <w:color w:val="000000" w:themeColor="text1"/>
        </w:rPr>
        <w:instrText xml:space="preserve">ADDIN CSL_CITATION {"citationItems":[{"id":"ITEM-1","itemData":{"author":[{"dropping-particle":"","family":"Priani","given":"Gisca Wahyu","non-dropping-particle":"","parse-names":false,"suffix":""},{"dropping-particle":"","family":"Rozaki","given":"Zuhud","non-dropping-particle":"","parse-names":false,"suffix":""},{"dropping-particle":"","family":"Wulandari","given":"Retno","non-dropping-particle":"","parse-names":false,"suffix":""},{"dropping-particle":"","family":"Azzahra","given":"Isni","non-dropping-particle":"","parse-names":false,"suffix":""},{"dropping-particle":"","family":"Yogyakarta","given":"Universitas Muhammadiyah","non-dropping-particle":"","parse-names":false,"suffix":""}],"container-title":"Proceedings Universitas Muhammadiyah Yogyakarta Undergraduate Conference","id":"ITEM-1","issued":{"date-parts":[["2023"]]},"page":"256-260","title":"Challenges and Opportunities for the Young Generation in Sustainable Agricultural Development","type":"article-journal","volume":"2023"},"uris":["http://www.mendeley.com/documents/?uuid=d4c55eb5-7db3-4fe8-b2dc-19fde25bb5a7"]}],"mendeley":{"formattedCitation":"(Priani et al., 2023)","plainTextFormattedCitation":"(Priani et al., 2023)","previouslyFormattedCitation":"[4]"},"properties":{"noteIndex":0},"schema":"https://github.com/citation-style-language/schema/raw/master/csl-citation.json"}</w:instrText>
      </w:r>
      <w:r>
        <w:rPr>
          <w:rFonts w:ascii="Times New Roman" w:hAnsi="Times New Roman" w:eastAsia="SimSun" w:cs="Times New Roman"/>
          <w:color w:val="000000" w:themeColor="text1"/>
        </w:rPr>
        <w:fldChar w:fldCharType="separate"/>
      </w:r>
      <w:r>
        <w:rPr>
          <w:rFonts w:ascii="Times New Roman" w:hAnsi="Times New Roman" w:eastAsia="SimSun" w:cs="Times New Roman"/>
          <w:color w:val="000000" w:themeColor="text1"/>
        </w:rPr>
        <w:t>(Priani et al., 2023)</w:t>
      </w:r>
      <w:r>
        <w:rPr>
          <w:rFonts w:ascii="Times New Roman" w:hAnsi="Times New Roman" w:eastAsia="SimSun" w:cs="Times New Roman"/>
          <w:color w:val="000000" w:themeColor="text1"/>
        </w:rPr>
        <w:fldChar w:fldCharType="end"/>
      </w:r>
      <w:r>
        <w:rPr>
          <w:rFonts w:ascii="Times New Roman" w:hAnsi="Times New Roman" w:eastAsia="SimSun" w:cs="Times New Roman"/>
          <w:color w:val="000000" w:themeColor="text1"/>
        </w:rPr>
        <w:t>. Similarly, Pujiriyani et al. (2016) found that family interactions are vital in sparking imagination about a child's desires. This is due to young people's reluctance to return to agriculture, which is influenced not only by their aspirations but also by the expectations of parents who do not want their children to become farmers. The findings of this study highlight the relevance of family and residential environment support, as well as the availability of agricultural infrastructure and government policies, in assuring young farmers' willingness to stay in agriculture.</w:t>
      </w:r>
    </w:p>
    <w:p w14:paraId="527097AC">
      <w:pPr>
        <w:pStyle w:val="2"/>
        <w:spacing w:before="0" w:line="240" w:lineRule="auto"/>
        <w:rPr>
          <w:rFonts w:ascii="Times New Roman" w:hAnsi="Times New Roman" w:cs="Times New Roman"/>
          <w:b/>
          <w:bCs/>
          <w:color w:val="000000" w:themeColor="text1"/>
          <w:sz w:val="22"/>
          <w:szCs w:val="22"/>
        </w:rPr>
      </w:pPr>
    </w:p>
    <w:p w14:paraId="7DE5EA33">
      <w:pPr>
        <w:pStyle w:val="16"/>
        <w:spacing w:line="240" w:lineRule="exact"/>
        <w:jc w:val="center"/>
        <w:rPr>
          <w:b/>
          <w:bCs/>
          <w:sz w:val="22"/>
          <w:szCs w:val="22"/>
          <w:lang w:val="id-ID"/>
        </w:rPr>
      </w:pPr>
    </w:p>
    <w:p w14:paraId="785691D2">
      <w:pPr>
        <w:pStyle w:val="16"/>
        <w:spacing w:after="80" w:line="240" w:lineRule="exact"/>
        <w:jc w:val="center"/>
        <w:rPr>
          <w:sz w:val="22"/>
          <w:szCs w:val="22"/>
        </w:rPr>
      </w:pPr>
      <w:r>
        <w:rPr>
          <w:b/>
          <w:bCs/>
          <w:sz w:val="22"/>
          <w:szCs w:val="22"/>
          <w:lang w:val="id-ID"/>
        </w:rPr>
        <w:t xml:space="preserve">CONCLUSION </w:t>
      </w:r>
    </w:p>
    <w:p w14:paraId="1D170C1C">
      <w:pPr>
        <w:pStyle w:val="16"/>
        <w:spacing w:after="80"/>
        <w:jc w:val="both"/>
        <w:rPr>
          <w:sz w:val="22"/>
          <w:szCs w:val="22"/>
        </w:rPr>
      </w:pPr>
      <w:r>
        <w:rPr>
          <w:sz w:val="22"/>
          <w:szCs w:val="22"/>
        </w:rPr>
        <w:t>Based on the study's findings, it may be feasible to conclude that the support factor of the family environment and domicile is the most important and has a positive effect on raising the likelihood that young farmers would persist in agriculture. Other considerations include the level of education, farming experience, and off-farm job access. On the other hand, the number of family dependents has a negative influence, and its increase reduces the likelihood of young farmers wanting to persist in the agricultural sector. Based on these findings, government policy support is required to promote greater farmer regeneration, such as upgrading farming skills and providing agricultural infrastructure</w:t>
      </w:r>
    </w:p>
    <w:p w14:paraId="2E035C4F">
      <w:pPr>
        <w:pStyle w:val="16"/>
        <w:spacing w:after="80" w:line="240" w:lineRule="exact"/>
        <w:jc w:val="both"/>
        <w:rPr>
          <w:bCs/>
          <w:sz w:val="22"/>
          <w:szCs w:val="22"/>
          <w:lang w:val="id-ID"/>
        </w:rPr>
      </w:pPr>
    </w:p>
    <w:p w14:paraId="0DD10221">
      <w:pPr>
        <w:widowControl w:val="0"/>
        <w:autoSpaceDE w:val="0"/>
        <w:autoSpaceDN w:val="0"/>
        <w:adjustRightInd w:val="0"/>
        <w:spacing w:after="80" w:line="240" w:lineRule="exact"/>
        <w:ind w:left="480" w:hanging="480"/>
        <w:jc w:val="center"/>
        <w:rPr>
          <w:rFonts w:ascii="Times New Roman" w:hAnsi="Times New Roman" w:cs="Times New Roman"/>
          <w:b/>
          <w:bCs/>
        </w:rPr>
      </w:pPr>
      <w:r>
        <w:rPr>
          <w:rFonts w:ascii="Times New Roman" w:hAnsi="Times New Roman" w:cs="Times New Roman"/>
          <w:b/>
          <w:bCs/>
        </w:rPr>
        <w:t>REFERENCES</w:t>
      </w:r>
    </w:p>
    <w:p w14:paraId="12128608">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Pr>
          <w:rFonts w:ascii="Times New Roman" w:hAnsi="Times New Roman" w:cs="Times New Roman"/>
          <w:szCs w:val="24"/>
        </w:rPr>
        <w:t xml:space="preserve">Adinugraha, Y., RM, S., &amp; D, V. (2017). Peran Orang Tua Dalam Mendekonstruksi Nilai Pertanian di Mata Pemuda Pedesaan. </w:t>
      </w:r>
      <w:r>
        <w:rPr>
          <w:rFonts w:ascii="Times New Roman" w:hAnsi="Times New Roman" w:cs="Times New Roman"/>
          <w:i/>
          <w:iCs/>
          <w:szCs w:val="24"/>
        </w:rPr>
        <w:t>Jurnal Penelitian Sosial Ilmu Komunikasi</w:t>
      </w:r>
      <w:r>
        <w:rPr>
          <w:rFonts w:ascii="Times New Roman" w:hAnsi="Times New Roman" w:cs="Times New Roman"/>
          <w:szCs w:val="24"/>
        </w:rPr>
        <w:t xml:space="preserve">, </w:t>
      </w:r>
      <w:r>
        <w:rPr>
          <w:rFonts w:ascii="Times New Roman" w:hAnsi="Times New Roman" w:cs="Times New Roman"/>
          <w:i/>
          <w:iCs/>
          <w:szCs w:val="24"/>
        </w:rPr>
        <w:t>1</w:t>
      </w:r>
      <w:r>
        <w:rPr>
          <w:rFonts w:ascii="Times New Roman" w:hAnsi="Times New Roman" w:cs="Times New Roman"/>
          <w:szCs w:val="24"/>
        </w:rPr>
        <w:t>(1), 1689–1699.</w:t>
      </w:r>
    </w:p>
    <w:p w14:paraId="6BACA6F6">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Adriani, D., &amp; Septiani, D. (2023). Rubber Farmers Children’s Perceptions of Continuing Business between Generations: Case Study in Banyuasin Regency, South Sumatra. </w:t>
      </w:r>
      <w:r>
        <w:rPr>
          <w:rFonts w:ascii="Times New Roman" w:hAnsi="Times New Roman" w:cs="Times New Roman"/>
          <w:i/>
          <w:iCs/>
          <w:szCs w:val="24"/>
        </w:rPr>
        <w:t>Sawwa: Jurnal Studi Gender</w:t>
      </w:r>
      <w:r>
        <w:rPr>
          <w:rFonts w:ascii="Times New Roman" w:hAnsi="Times New Roman" w:cs="Times New Roman"/>
          <w:szCs w:val="24"/>
        </w:rPr>
        <w:t xml:space="preserve">, </w:t>
      </w:r>
      <w:r>
        <w:rPr>
          <w:rFonts w:ascii="Times New Roman" w:hAnsi="Times New Roman" w:cs="Times New Roman"/>
          <w:i/>
          <w:iCs/>
          <w:szCs w:val="24"/>
        </w:rPr>
        <w:t>18</w:t>
      </w:r>
      <w:r>
        <w:rPr>
          <w:rFonts w:ascii="Times New Roman" w:hAnsi="Times New Roman" w:cs="Times New Roman"/>
          <w:szCs w:val="24"/>
        </w:rPr>
        <w:t>(2), 261–284. https://doi.org/10.21580/sa.v18i2.18727</w:t>
      </w:r>
    </w:p>
    <w:p w14:paraId="598E2533">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Anwarudin, O. (2021). </w:t>
      </w:r>
      <w:r>
        <w:rPr>
          <w:rFonts w:ascii="Times New Roman" w:hAnsi="Times New Roman" w:cs="Times New Roman"/>
          <w:i/>
          <w:iCs/>
          <w:szCs w:val="24"/>
        </w:rPr>
        <w:t>Regenerasi Petani melalui Transformasi Agropreneur Muda</w:t>
      </w:r>
      <w:r>
        <w:rPr>
          <w:rFonts w:ascii="Times New Roman" w:hAnsi="Times New Roman" w:cs="Times New Roman"/>
          <w:szCs w:val="24"/>
        </w:rPr>
        <w:t>. 1–129. https://repository.ipb.ac.id/handle/123456789/110112</w:t>
      </w:r>
    </w:p>
    <w:p w14:paraId="3D35FCDB">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Anwarudin, O., Sumardjo, S., Satria, A., &amp; Fatchiya, A. (2020). Kapasitas Kewirausahaan Petani Muda dalam Agribisnis di Jawa Barat. </w:t>
      </w:r>
      <w:r>
        <w:rPr>
          <w:rFonts w:ascii="Times New Roman" w:hAnsi="Times New Roman" w:cs="Times New Roman"/>
          <w:i/>
          <w:iCs/>
          <w:szCs w:val="24"/>
        </w:rPr>
        <w:t>Jurnal Penyuluhan</w:t>
      </w:r>
      <w:r>
        <w:rPr>
          <w:rFonts w:ascii="Times New Roman" w:hAnsi="Times New Roman" w:cs="Times New Roman"/>
          <w:szCs w:val="24"/>
        </w:rPr>
        <w:t xml:space="preserve">, </w:t>
      </w:r>
      <w:r>
        <w:rPr>
          <w:rFonts w:ascii="Times New Roman" w:hAnsi="Times New Roman" w:cs="Times New Roman"/>
          <w:i/>
          <w:iCs/>
          <w:szCs w:val="24"/>
        </w:rPr>
        <w:t>16</w:t>
      </w:r>
      <w:r>
        <w:rPr>
          <w:rFonts w:ascii="Times New Roman" w:hAnsi="Times New Roman" w:cs="Times New Roman"/>
          <w:szCs w:val="24"/>
        </w:rPr>
        <w:t>(02), 267–276.</w:t>
      </w:r>
    </w:p>
    <w:p w14:paraId="5B32238A">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Arvianti, E. Y., Masyhuri, M., Waluyati, L. R., &amp; Darwanto, D. H. (2019). Characteristics of Young Horticultural Farmers in Malang Regency. </w:t>
      </w:r>
      <w:r>
        <w:rPr>
          <w:rFonts w:ascii="Times New Roman" w:hAnsi="Times New Roman" w:cs="Times New Roman"/>
          <w:i/>
          <w:iCs/>
          <w:szCs w:val="24"/>
        </w:rPr>
        <w:t>Agro Ekonomi</w:t>
      </w:r>
      <w:r>
        <w:rPr>
          <w:rFonts w:ascii="Times New Roman" w:hAnsi="Times New Roman" w:cs="Times New Roman"/>
          <w:szCs w:val="24"/>
        </w:rPr>
        <w:t xml:space="preserve">, </w:t>
      </w:r>
      <w:r>
        <w:rPr>
          <w:rFonts w:ascii="Times New Roman" w:hAnsi="Times New Roman" w:cs="Times New Roman"/>
          <w:i/>
          <w:iCs/>
          <w:szCs w:val="24"/>
        </w:rPr>
        <w:t>30</w:t>
      </w:r>
      <w:r>
        <w:rPr>
          <w:rFonts w:ascii="Times New Roman" w:hAnsi="Times New Roman" w:cs="Times New Roman"/>
          <w:szCs w:val="24"/>
        </w:rPr>
        <w:t>(2). https://doi.org/10.22146/ae.46439</w:t>
      </w:r>
    </w:p>
    <w:p w14:paraId="2D8A5800">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Badan, N. D., &amp; Fîntîneru, G. (2022). Young Farmers-A Fundamental Factor in The Development of The Agricultural Sector. </w:t>
      </w:r>
      <w:r>
        <w:rPr>
          <w:rFonts w:ascii="Times New Roman" w:hAnsi="Times New Roman" w:cs="Times New Roman"/>
          <w:i/>
          <w:iCs/>
          <w:szCs w:val="24"/>
        </w:rPr>
        <w:t>Scientific Papers Series Management, Economic Engineering in Agriculture and Rural Development</w:t>
      </w:r>
      <w:r>
        <w:rPr>
          <w:rFonts w:ascii="Times New Roman" w:hAnsi="Times New Roman" w:cs="Times New Roman"/>
          <w:szCs w:val="24"/>
        </w:rPr>
        <w:t xml:space="preserve">, </w:t>
      </w:r>
      <w:r>
        <w:rPr>
          <w:rFonts w:ascii="Times New Roman" w:hAnsi="Times New Roman" w:cs="Times New Roman"/>
          <w:i/>
          <w:iCs/>
          <w:szCs w:val="24"/>
        </w:rPr>
        <w:t>22</w:t>
      </w:r>
      <w:r>
        <w:rPr>
          <w:rFonts w:ascii="Times New Roman" w:hAnsi="Times New Roman" w:cs="Times New Roman"/>
          <w:szCs w:val="24"/>
        </w:rPr>
        <w:t>(2), 73–79.</w:t>
      </w:r>
    </w:p>
    <w:p w14:paraId="2F5EBCEF">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Badan Pusat Statistik. (2023). Hasil Pencacahan Lengkap Sensus Pertanian 2023 - Tahap I - Badan Pusat Statistik Indonesia. In </w:t>
      </w:r>
      <w:r>
        <w:rPr>
          <w:rFonts w:ascii="Times New Roman" w:hAnsi="Times New Roman" w:cs="Times New Roman"/>
          <w:i/>
          <w:iCs/>
          <w:szCs w:val="24"/>
        </w:rPr>
        <w:t>Badan Pusat Statistik</w:t>
      </w:r>
      <w:r>
        <w:rPr>
          <w:rFonts w:ascii="Times New Roman" w:hAnsi="Times New Roman" w:cs="Times New Roman"/>
          <w:szCs w:val="24"/>
        </w:rPr>
        <w:t>. https://www.bps.go.id/id/pressrelease/2023/12/04/2050/hasil-pencacahan- lengkap-sensus-pertanian-2023---tahap-i.html</w:t>
      </w:r>
    </w:p>
    <w:p w14:paraId="6082FADC">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Berk, A. (2018). Factors affecting the exit from farming of young farmers in Turkey: the case of Niğde province. </w:t>
      </w:r>
      <w:r>
        <w:rPr>
          <w:rFonts w:ascii="Times New Roman" w:hAnsi="Times New Roman" w:cs="Times New Roman"/>
          <w:i/>
          <w:iCs/>
          <w:szCs w:val="24"/>
        </w:rPr>
        <w:t>Ciência Rural</w:t>
      </w:r>
      <w:r>
        <w:rPr>
          <w:rFonts w:ascii="Times New Roman" w:hAnsi="Times New Roman" w:cs="Times New Roman"/>
          <w:szCs w:val="24"/>
        </w:rPr>
        <w:t xml:space="preserve">, </w:t>
      </w:r>
      <w:r>
        <w:rPr>
          <w:rFonts w:ascii="Times New Roman" w:hAnsi="Times New Roman" w:cs="Times New Roman"/>
          <w:i/>
          <w:iCs/>
          <w:szCs w:val="24"/>
        </w:rPr>
        <w:t>48</w:t>
      </w:r>
      <w:r>
        <w:rPr>
          <w:rFonts w:ascii="Times New Roman" w:hAnsi="Times New Roman" w:cs="Times New Roman"/>
          <w:szCs w:val="24"/>
        </w:rPr>
        <w:t>(8). https://doi.org/10.1590/0103-8478cr20180471</w:t>
      </w:r>
    </w:p>
    <w:p w14:paraId="1BDEA231">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Bubela, H. J. (2016). Off-farm Income : Managing Risk in Young and Beginning Farmer Households. </w:t>
      </w:r>
      <w:r>
        <w:rPr>
          <w:rFonts w:ascii="Times New Roman" w:hAnsi="Times New Roman" w:cs="Times New Roman"/>
          <w:i/>
          <w:iCs/>
          <w:szCs w:val="24"/>
        </w:rPr>
        <w:t>Agricultural &amp; Applied Economics Association</w:t>
      </w:r>
      <w:r>
        <w:rPr>
          <w:rFonts w:ascii="Times New Roman" w:hAnsi="Times New Roman" w:cs="Times New Roman"/>
          <w:szCs w:val="24"/>
        </w:rPr>
        <w:t xml:space="preserve">, </w:t>
      </w:r>
      <w:r>
        <w:rPr>
          <w:rFonts w:ascii="Times New Roman" w:hAnsi="Times New Roman" w:cs="Times New Roman"/>
          <w:i/>
          <w:iCs/>
          <w:szCs w:val="24"/>
        </w:rPr>
        <w:t>31</w:t>
      </w:r>
      <w:r>
        <w:rPr>
          <w:rFonts w:ascii="Times New Roman" w:hAnsi="Times New Roman" w:cs="Times New Roman"/>
          <w:szCs w:val="24"/>
        </w:rPr>
        <w:t>(3), 1–8.</w:t>
      </w:r>
    </w:p>
    <w:p w14:paraId="4700E43A">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Dwiyana, P. M., &amp; Hasan, F. (2021). Persepsi Pemuda Desa Terkait Pekerjaan di Sektor Pertanian (Studi Kasus: Desa Sewor, Kecamatan Sukorame, Kabupaten Lamongan, Jawa Timur). </w:t>
      </w:r>
      <w:r>
        <w:rPr>
          <w:rFonts w:ascii="Times New Roman" w:hAnsi="Times New Roman" w:cs="Times New Roman"/>
          <w:i/>
          <w:iCs/>
          <w:szCs w:val="24"/>
        </w:rPr>
        <w:t>Agriscience</w:t>
      </w:r>
      <w:r>
        <w:rPr>
          <w:rFonts w:ascii="Times New Roman" w:hAnsi="Times New Roman" w:cs="Times New Roman"/>
          <w:szCs w:val="24"/>
        </w:rPr>
        <w:t xml:space="preserve">, </w:t>
      </w:r>
      <w:r>
        <w:rPr>
          <w:rFonts w:ascii="Times New Roman" w:hAnsi="Times New Roman" w:cs="Times New Roman"/>
          <w:i/>
          <w:iCs/>
          <w:szCs w:val="24"/>
        </w:rPr>
        <w:t>2</w:t>
      </w:r>
      <w:r>
        <w:rPr>
          <w:rFonts w:ascii="Times New Roman" w:hAnsi="Times New Roman" w:cs="Times New Roman"/>
          <w:szCs w:val="24"/>
        </w:rPr>
        <w:t>(2), 275–294. https://doi.org/10.21107/agriscience.v2i2.11366</w:t>
      </w:r>
    </w:p>
    <w:p w14:paraId="08406847">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Fitriyana, E., Wijianto, A., &amp; Widiyanti, E. (2020). Persepsi Pemuda Tani Terhadap Pekerjaan Sebagai Petani Di Kecamatan Purworejo Kabupaten Purworejo. </w:t>
      </w:r>
      <w:r>
        <w:rPr>
          <w:rFonts w:ascii="Times New Roman" w:hAnsi="Times New Roman" w:cs="Times New Roman"/>
          <w:i/>
          <w:iCs/>
          <w:szCs w:val="24"/>
        </w:rPr>
        <w:t>AGRITEXTS: Journal of Agricultural Extension</w:t>
      </w:r>
      <w:r>
        <w:rPr>
          <w:rFonts w:ascii="Times New Roman" w:hAnsi="Times New Roman" w:cs="Times New Roman"/>
          <w:szCs w:val="24"/>
        </w:rPr>
        <w:t xml:space="preserve">, </w:t>
      </w:r>
      <w:r>
        <w:rPr>
          <w:rFonts w:ascii="Times New Roman" w:hAnsi="Times New Roman" w:cs="Times New Roman"/>
          <w:i/>
          <w:iCs/>
          <w:szCs w:val="24"/>
        </w:rPr>
        <w:t>42</w:t>
      </w:r>
      <w:r>
        <w:rPr>
          <w:rFonts w:ascii="Times New Roman" w:hAnsi="Times New Roman" w:cs="Times New Roman"/>
          <w:szCs w:val="24"/>
        </w:rPr>
        <w:t>(2), 119. https://doi.org/10.20961/agritexts.v42i2.43315</w:t>
      </w:r>
    </w:p>
    <w:p w14:paraId="29ED3227">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Girdziute, L., Besuspariene, E., Nausediene, A., Novikova, A., Leppala, J., &amp; Jakob, M. (2019). </w:t>
      </w:r>
      <w:r>
        <w:rPr>
          <w:rFonts w:ascii="Times New Roman" w:hAnsi="Times New Roman" w:cs="Times New Roman"/>
          <w:i/>
          <w:iCs/>
          <w:szCs w:val="24"/>
        </w:rPr>
        <w:t>Youth ’ s ( Un ) willingness to work in agriculture sector</w:t>
      </w:r>
      <w:r>
        <w:rPr>
          <w:rFonts w:ascii="Times New Roman" w:hAnsi="Times New Roman" w:cs="Times New Roman"/>
          <w:szCs w:val="24"/>
        </w:rPr>
        <w:t xml:space="preserve">. </w:t>
      </w:r>
      <w:r>
        <w:rPr>
          <w:rFonts w:ascii="Times New Roman" w:hAnsi="Times New Roman" w:cs="Times New Roman"/>
          <w:i/>
          <w:iCs/>
          <w:szCs w:val="24"/>
        </w:rPr>
        <w:t>1</w:t>
      </w:r>
      <w:r>
        <w:rPr>
          <w:rFonts w:ascii="Times New Roman" w:hAnsi="Times New Roman" w:cs="Times New Roman"/>
          <w:szCs w:val="24"/>
        </w:rPr>
        <w:t>.</w:t>
      </w:r>
    </w:p>
    <w:p w14:paraId="0BA9CB27">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Haharap, N., &amp; Siregar, A. Z. (2018). Factors Affecting Youth Generation Interest on Agricultural Fields (Case Study in Deli Serdang District). </w:t>
      </w:r>
      <w:r>
        <w:rPr>
          <w:rFonts w:ascii="Times New Roman" w:hAnsi="Times New Roman" w:cs="Times New Roman"/>
          <w:i/>
          <w:iCs/>
          <w:szCs w:val="24"/>
        </w:rPr>
        <w:t>International Journal of Environment, Agriculture and Biotechnology</w:t>
      </w:r>
      <w:r>
        <w:rPr>
          <w:rFonts w:ascii="Times New Roman" w:hAnsi="Times New Roman" w:cs="Times New Roman"/>
          <w:szCs w:val="24"/>
        </w:rPr>
        <w:t xml:space="preserve">, </w:t>
      </w:r>
      <w:r>
        <w:rPr>
          <w:rFonts w:ascii="Times New Roman" w:hAnsi="Times New Roman" w:cs="Times New Roman"/>
          <w:i/>
          <w:iCs/>
          <w:szCs w:val="24"/>
        </w:rPr>
        <w:t>3</w:t>
      </w:r>
      <w:r>
        <w:rPr>
          <w:rFonts w:ascii="Times New Roman" w:hAnsi="Times New Roman" w:cs="Times New Roman"/>
          <w:szCs w:val="24"/>
        </w:rPr>
        <w:t>(5), 1922–1928. https://doi.org/10.22161/ijeab/3.5.45</w:t>
      </w:r>
    </w:p>
    <w:p w14:paraId="0BE34780">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Hernowo, H., Sutanto, A., &amp; Suyono, S. (2023). Kegiatan On-Farm Dan Off-Farm Sebagai Usaha Di Sektor Pertanian: Persepsi Pemuda Di Kabupaten Purbalingga. </w:t>
      </w:r>
      <w:r>
        <w:rPr>
          <w:rFonts w:ascii="Times New Roman" w:hAnsi="Times New Roman" w:cs="Times New Roman"/>
          <w:i/>
          <w:iCs/>
          <w:szCs w:val="24"/>
        </w:rPr>
        <w:t>Jurnal Ekonomi Pertanian Dan Agribisnis</w:t>
      </w:r>
      <w:r>
        <w:rPr>
          <w:rFonts w:ascii="Times New Roman" w:hAnsi="Times New Roman" w:cs="Times New Roman"/>
          <w:szCs w:val="24"/>
        </w:rPr>
        <w:t xml:space="preserve">, </w:t>
      </w:r>
      <w:r>
        <w:rPr>
          <w:rFonts w:ascii="Times New Roman" w:hAnsi="Times New Roman" w:cs="Times New Roman"/>
          <w:i/>
          <w:iCs/>
          <w:szCs w:val="24"/>
        </w:rPr>
        <w:t>7</w:t>
      </w:r>
      <w:r>
        <w:rPr>
          <w:rFonts w:ascii="Times New Roman" w:hAnsi="Times New Roman" w:cs="Times New Roman"/>
          <w:szCs w:val="24"/>
        </w:rPr>
        <w:t>(2), 472. https://doi.org/10.21776/ub.jepa.2023.007.02.5</w:t>
      </w:r>
    </w:p>
    <w:p w14:paraId="293AB30C">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Hidayatullah, R. S., Rozaki, Z., Wulandari, R., &amp; Azzahra, I. (2023). </w:t>
      </w:r>
      <w:r>
        <w:rPr>
          <w:rFonts w:ascii="Times New Roman" w:hAnsi="Times New Roman" w:cs="Times New Roman"/>
          <w:i/>
          <w:iCs/>
          <w:szCs w:val="24"/>
        </w:rPr>
        <w:t>Nurturing the Hope of Indonesian Agriculture : Young Generation ’ s Contribution to Technology Improvement for Sustainable Indonesian Agriculture Memupuk Harapan Pertanian Indonesia : Kontribusi Generasi Muda dalam Peningkatan Teknologi Demi Mewujudkan Pe</w:t>
      </w:r>
      <w:r>
        <w:rPr>
          <w:rFonts w:ascii="Times New Roman" w:hAnsi="Times New Roman" w:cs="Times New Roman"/>
          <w:szCs w:val="24"/>
        </w:rPr>
        <w:t xml:space="preserve">. </w:t>
      </w:r>
      <w:r>
        <w:rPr>
          <w:rFonts w:ascii="Times New Roman" w:hAnsi="Times New Roman" w:cs="Times New Roman"/>
          <w:i/>
          <w:iCs/>
          <w:szCs w:val="24"/>
        </w:rPr>
        <w:t>3</w:t>
      </w:r>
      <w:r>
        <w:rPr>
          <w:rFonts w:ascii="Times New Roman" w:hAnsi="Times New Roman" w:cs="Times New Roman"/>
          <w:szCs w:val="24"/>
        </w:rPr>
        <w:t>(2), 269–274.</w:t>
      </w:r>
    </w:p>
    <w:p w14:paraId="4BF39A04">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Julia, A., Heryanto, M. A., Utami, H. N., &amp; Rachmawati, E. (2024). Minat Generasi Muda Keluarga Petani terhadap Sektor Pertanian di Desa Karangligar, Kecamatan Telukjambe Barat, Kabupaten Karawang. </w:t>
      </w:r>
      <w:r>
        <w:rPr>
          <w:rFonts w:ascii="Times New Roman" w:hAnsi="Times New Roman" w:cs="Times New Roman"/>
          <w:i/>
          <w:iCs/>
          <w:szCs w:val="24"/>
        </w:rPr>
        <w:t>Mimbar Agribisnis : Jurnal Pemikiran Masyarakat Ilmiah Berwawasan Agribisnis</w:t>
      </w:r>
      <w:r>
        <w:rPr>
          <w:rFonts w:ascii="Times New Roman" w:hAnsi="Times New Roman" w:cs="Times New Roman"/>
          <w:szCs w:val="24"/>
        </w:rPr>
        <w:t xml:space="preserve">, </w:t>
      </w:r>
      <w:r>
        <w:rPr>
          <w:rFonts w:ascii="Times New Roman" w:hAnsi="Times New Roman" w:cs="Times New Roman"/>
          <w:i/>
          <w:iCs/>
          <w:szCs w:val="24"/>
        </w:rPr>
        <w:t>10</w:t>
      </w:r>
      <w:r>
        <w:rPr>
          <w:rFonts w:ascii="Times New Roman" w:hAnsi="Times New Roman" w:cs="Times New Roman"/>
          <w:szCs w:val="24"/>
        </w:rPr>
        <w:t>(2), 1757. https://doi.org/10.25157/ma.v10i2.13506</w:t>
      </w:r>
    </w:p>
    <w:p w14:paraId="5B68704E">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Karahan, M., Abay, C., &amp; Ito, R. (2023). Determining Factors of Retaining Young Farmers in Agriculture: A Case study in Turkey and Japan. In </w:t>
      </w:r>
      <w:r>
        <w:rPr>
          <w:rFonts w:ascii="Times New Roman" w:hAnsi="Times New Roman" w:cs="Times New Roman"/>
          <w:i/>
          <w:iCs/>
          <w:szCs w:val="24"/>
        </w:rPr>
        <w:t>Agris On-line Papers in Economics and Informatics</w:t>
      </w:r>
      <w:r>
        <w:rPr>
          <w:rFonts w:ascii="Times New Roman" w:hAnsi="Times New Roman" w:cs="Times New Roman"/>
          <w:szCs w:val="24"/>
        </w:rPr>
        <w:t xml:space="preserve"> (Vol. 15, Issue 2, pp. 41–54). https://doi.org/10.7160/aol.2023.150204</w:t>
      </w:r>
    </w:p>
    <w:p w14:paraId="50A94CE8">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May, D., Arancibia, S., Behrendt, K., &amp; Adams, J. (2019). Preventing young farmers from leaving the farm: Investigating the effectiveness of the young farmer payment using a behavioural approach. </w:t>
      </w:r>
      <w:r>
        <w:rPr>
          <w:rFonts w:ascii="Times New Roman" w:hAnsi="Times New Roman" w:cs="Times New Roman"/>
          <w:i/>
          <w:iCs/>
          <w:szCs w:val="24"/>
        </w:rPr>
        <w:t>Land Use Policy</w:t>
      </w:r>
      <w:r>
        <w:rPr>
          <w:rFonts w:ascii="Times New Roman" w:hAnsi="Times New Roman" w:cs="Times New Roman"/>
          <w:szCs w:val="24"/>
        </w:rPr>
        <w:t xml:space="preserve">, </w:t>
      </w:r>
      <w:r>
        <w:rPr>
          <w:rFonts w:ascii="Times New Roman" w:hAnsi="Times New Roman" w:cs="Times New Roman"/>
          <w:i/>
          <w:iCs/>
          <w:szCs w:val="24"/>
        </w:rPr>
        <w:t>82</w:t>
      </w:r>
      <w:r>
        <w:rPr>
          <w:rFonts w:ascii="Times New Roman" w:hAnsi="Times New Roman" w:cs="Times New Roman"/>
          <w:szCs w:val="24"/>
        </w:rPr>
        <w:t>(December 2018), 317–327. https://doi.org/10.1016/j.landusepol.2018.12.019</w:t>
      </w:r>
    </w:p>
    <w:p w14:paraId="09F841B1">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Nehring, Richard &amp; Hallahan, C. (2016). </w:t>
      </w:r>
      <w:r>
        <w:rPr>
          <w:rFonts w:ascii="Times New Roman" w:hAnsi="Times New Roman" w:cs="Times New Roman"/>
          <w:i/>
          <w:iCs/>
          <w:szCs w:val="24"/>
        </w:rPr>
        <w:t>The Impacts of Off-Farm Income on Farm Efficiency, Scale, and Profitability Cotton Farms</w:t>
      </w:r>
      <w:r>
        <w:rPr>
          <w:rFonts w:ascii="Times New Roman" w:hAnsi="Times New Roman" w:cs="Times New Roman"/>
          <w:szCs w:val="24"/>
        </w:rPr>
        <w:t>. 2016 Annual Meeting, February 6-9, 2016, San Antonio, Texas 230413, Southern Agricultural Economics Association.</w:t>
      </w:r>
    </w:p>
    <w:p w14:paraId="13FCDBE0">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Nugraha, Y. A., &amp; Herawati, R. (2015). Menguak Realitas Orang Muda Sektor Pertanian Di Perdesaan. </w:t>
      </w:r>
      <w:r>
        <w:rPr>
          <w:rFonts w:ascii="Times New Roman" w:hAnsi="Times New Roman" w:cs="Times New Roman"/>
          <w:i/>
          <w:iCs/>
          <w:szCs w:val="24"/>
        </w:rPr>
        <w:t>Seri Penelitian Akatiga</w:t>
      </w:r>
      <w:r>
        <w:rPr>
          <w:rFonts w:ascii="Times New Roman" w:hAnsi="Times New Roman" w:cs="Times New Roman"/>
          <w:szCs w:val="24"/>
        </w:rPr>
        <w:t xml:space="preserve">, </w:t>
      </w:r>
      <w:r>
        <w:rPr>
          <w:rFonts w:ascii="Times New Roman" w:hAnsi="Times New Roman" w:cs="Times New Roman"/>
          <w:i/>
          <w:iCs/>
          <w:szCs w:val="24"/>
        </w:rPr>
        <w:t>19</w:t>
      </w:r>
      <w:r>
        <w:rPr>
          <w:rFonts w:ascii="Times New Roman" w:hAnsi="Times New Roman" w:cs="Times New Roman"/>
          <w:szCs w:val="24"/>
        </w:rPr>
        <w:t>(1), 1–23.</w:t>
      </w:r>
    </w:p>
    <w:p w14:paraId="668BD92B">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Octaviana, D. A., Astini, N. M., &amp; Susanto, B. A. (2022). Word-Of-Mouth Sebagai Sarana Pembentukan Intensi Generasi Muda dalam Berpartisipasi Pada Sektor Pertanian. </w:t>
      </w:r>
      <w:r>
        <w:rPr>
          <w:rFonts w:ascii="Times New Roman" w:hAnsi="Times New Roman" w:cs="Times New Roman"/>
          <w:i/>
          <w:iCs/>
          <w:szCs w:val="24"/>
        </w:rPr>
        <w:t>Jurnal Komunikasi Nusantara</w:t>
      </w:r>
      <w:r>
        <w:rPr>
          <w:rFonts w:ascii="Times New Roman" w:hAnsi="Times New Roman" w:cs="Times New Roman"/>
          <w:szCs w:val="24"/>
        </w:rPr>
        <w:t xml:space="preserve">, </w:t>
      </w:r>
      <w:r>
        <w:rPr>
          <w:rFonts w:ascii="Times New Roman" w:hAnsi="Times New Roman" w:cs="Times New Roman"/>
          <w:i/>
          <w:iCs/>
          <w:szCs w:val="24"/>
        </w:rPr>
        <w:t>4</w:t>
      </w:r>
      <w:r>
        <w:rPr>
          <w:rFonts w:ascii="Times New Roman" w:hAnsi="Times New Roman" w:cs="Times New Roman"/>
          <w:szCs w:val="24"/>
        </w:rPr>
        <w:t>(2), 163–176. https://doi.org/10.33366/jkn.v4i2.96</w:t>
      </w:r>
    </w:p>
    <w:p w14:paraId="1E173AB0">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Oktaviani, D. A., &amp; Rozci, F. (2024). Analisis Penyebab Menurunnya Minat dan Partisipasi Generasi Muda dalam Sektor Pertanian. </w:t>
      </w:r>
      <w:r>
        <w:rPr>
          <w:rFonts w:ascii="Times New Roman" w:hAnsi="Times New Roman" w:cs="Times New Roman"/>
          <w:i/>
          <w:iCs/>
          <w:szCs w:val="24"/>
        </w:rPr>
        <w:t>Jurnal Ilmiah Manajemen Agribisnis</w:t>
      </w:r>
      <w:r>
        <w:rPr>
          <w:rFonts w:ascii="Times New Roman" w:hAnsi="Times New Roman" w:cs="Times New Roman"/>
          <w:szCs w:val="24"/>
        </w:rPr>
        <w:t xml:space="preserve">, </w:t>
      </w:r>
      <w:r>
        <w:rPr>
          <w:rFonts w:ascii="Times New Roman" w:hAnsi="Times New Roman" w:cs="Times New Roman"/>
          <w:i/>
          <w:iCs/>
          <w:szCs w:val="24"/>
        </w:rPr>
        <w:t>11</w:t>
      </w:r>
      <w:r>
        <w:rPr>
          <w:rFonts w:ascii="Times New Roman" w:hAnsi="Times New Roman" w:cs="Times New Roman"/>
          <w:szCs w:val="24"/>
        </w:rPr>
        <w:t>(1), 48–56. https://doi.org/10.33005/jimaemagri.v11i1.7</w:t>
      </w:r>
    </w:p>
    <w:p w14:paraId="7C333346">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Pechrová, M. Š., Šimpach, O., Medonos, T., Spěšná, D., &amp; Delín, M. (2018). What are the motivation and barriers of young farmers to enter the sector? </w:t>
      </w:r>
      <w:r>
        <w:rPr>
          <w:rFonts w:ascii="Times New Roman" w:hAnsi="Times New Roman" w:cs="Times New Roman"/>
          <w:i/>
          <w:iCs/>
          <w:szCs w:val="24"/>
        </w:rPr>
        <w:t>Agris On-Line Papers in Economics and Informatics</w:t>
      </w:r>
      <w:r>
        <w:rPr>
          <w:rFonts w:ascii="Times New Roman" w:hAnsi="Times New Roman" w:cs="Times New Roman"/>
          <w:szCs w:val="24"/>
        </w:rPr>
        <w:t xml:space="preserve">, </w:t>
      </w:r>
      <w:r>
        <w:rPr>
          <w:rFonts w:ascii="Times New Roman" w:hAnsi="Times New Roman" w:cs="Times New Roman"/>
          <w:i/>
          <w:iCs/>
          <w:szCs w:val="24"/>
        </w:rPr>
        <w:t>10</w:t>
      </w:r>
      <w:r>
        <w:rPr>
          <w:rFonts w:ascii="Times New Roman" w:hAnsi="Times New Roman" w:cs="Times New Roman"/>
          <w:szCs w:val="24"/>
        </w:rPr>
        <w:t>(4), 79–87. https://doi.org/10.7160/aol.2018.100409</w:t>
      </w:r>
    </w:p>
    <w:p w14:paraId="5342ED41">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Priani, G. W., Rozaki, Z., Wulandari, R., Azzahra, I., &amp; Yogyakarta, U. M. (2023). Challenges and Opportunities for the Young Generation in Sustainable Agricultural Development. </w:t>
      </w:r>
      <w:r>
        <w:rPr>
          <w:rFonts w:ascii="Times New Roman" w:hAnsi="Times New Roman" w:cs="Times New Roman"/>
          <w:i/>
          <w:iCs/>
          <w:szCs w:val="24"/>
        </w:rPr>
        <w:t>Proceedings Universitas Muhammadiyah Yogyakarta Undergraduate Conference</w:t>
      </w:r>
      <w:r>
        <w:rPr>
          <w:rFonts w:ascii="Times New Roman" w:hAnsi="Times New Roman" w:cs="Times New Roman"/>
          <w:szCs w:val="24"/>
        </w:rPr>
        <w:t xml:space="preserve">, </w:t>
      </w:r>
      <w:r>
        <w:rPr>
          <w:rFonts w:ascii="Times New Roman" w:hAnsi="Times New Roman" w:cs="Times New Roman"/>
          <w:i/>
          <w:iCs/>
          <w:szCs w:val="24"/>
        </w:rPr>
        <w:t>2023</w:t>
      </w:r>
      <w:r>
        <w:rPr>
          <w:rFonts w:ascii="Times New Roman" w:hAnsi="Times New Roman" w:cs="Times New Roman"/>
          <w:szCs w:val="24"/>
        </w:rPr>
        <w:t>, 256–260.</w:t>
      </w:r>
    </w:p>
    <w:p w14:paraId="4994B4F3">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Pujiriyani, D. W. (2022). Generasi baru petani wirausaha: Dinamika petani kecil dalam pertanian global. </w:t>
      </w:r>
      <w:r>
        <w:rPr>
          <w:rFonts w:ascii="Times New Roman" w:hAnsi="Times New Roman" w:cs="Times New Roman"/>
          <w:i/>
          <w:iCs/>
          <w:szCs w:val="24"/>
        </w:rPr>
        <w:t>Tunas Agraria</w:t>
      </w:r>
      <w:r>
        <w:rPr>
          <w:rFonts w:ascii="Times New Roman" w:hAnsi="Times New Roman" w:cs="Times New Roman"/>
          <w:szCs w:val="24"/>
        </w:rPr>
        <w:t xml:space="preserve">, </w:t>
      </w:r>
      <w:r>
        <w:rPr>
          <w:rFonts w:ascii="Times New Roman" w:hAnsi="Times New Roman" w:cs="Times New Roman"/>
          <w:i/>
          <w:iCs/>
          <w:szCs w:val="24"/>
        </w:rPr>
        <w:t>5</w:t>
      </w:r>
      <w:r>
        <w:rPr>
          <w:rFonts w:ascii="Times New Roman" w:hAnsi="Times New Roman" w:cs="Times New Roman"/>
          <w:szCs w:val="24"/>
        </w:rPr>
        <w:t>(3), 254–267. https://doi.org/10.31292/jta.v5i3.195</w:t>
      </w:r>
    </w:p>
    <w:p w14:paraId="68EE9C0D">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Pujiriyani, D. W., Suharyono, S., Hayat, I., &amp; Azzahra, F. (2016). Sampai Kapan Pemuda Bertahan di Pedesaan? Kepemilikan Lahan dan Pilihan Pemuda Untuk Menjadi Petani. </w:t>
      </w:r>
      <w:r>
        <w:rPr>
          <w:rFonts w:ascii="Times New Roman" w:hAnsi="Times New Roman" w:cs="Times New Roman"/>
          <w:i/>
          <w:iCs/>
          <w:szCs w:val="24"/>
        </w:rPr>
        <w:t>BHUMI: Jurnal Agraria Dan Pertanahan</w:t>
      </w:r>
      <w:r>
        <w:rPr>
          <w:rFonts w:ascii="Times New Roman" w:hAnsi="Times New Roman" w:cs="Times New Roman"/>
          <w:szCs w:val="24"/>
        </w:rPr>
        <w:t xml:space="preserve">, </w:t>
      </w:r>
      <w:r>
        <w:rPr>
          <w:rFonts w:ascii="Times New Roman" w:hAnsi="Times New Roman" w:cs="Times New Roman"/>
          <w:i/>
          <w:iCs/>
          <w:szCs w:val="24"/>
        </w:rPr>
        <w:t>2</w:t>
      </w:r>
      <w:r>
        <w:rPr>
          <w:rFonts w:ascii="Times New Roman" w:hAnsi="Times New Roman" w:cs="Times New Roman"/>
          <w:szCs w:val="24"/>
        </w:rPr>
        <w:t>(2), 209. https://doi.org/10.31292/jb.v2i2.72</w:t>
      </w:r>
    </w:p>
    <w:p w14:paraId="24E58D65">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Saputra, A., Istiqomah, &amp; Binardjo, G. (2022). What attracts rural youth to farming? evidence from Central Java. </w:t>
      </w:r>
      <w:r>
        <w:rPr>
          <w:rFonts w:ascii="Times New Roman" w:hAnsi="Times New Roman" w:cs="Times New Roman"/>
          <w:i/>
          <w:iCs/>
          <w:szCs w:val="24"/>
        </w:rPr>
        <w:t>Agrisocionomics Jurnal Sosial Ekonomi Dan Kebijakan Pertanian</w:t>
      </w:r>
      <w:r>
        <w:rPr>
          <w:rFonts w:ascii="Times New Roman" w:hAnsi="Times New Roman" w:cs="Times New Roman"/>
          <w:szCs w:val="24"/>
        </w:rPr>
        <w:t xml:space="preserve">, </w:t>
      </w:r>
      <w:r>
        <w:rPr>
          <w:rFonts w:ascii="Times New Roman" w:hAnsi="Times New Roman" w:cs="Times New Roman"/>
          <w:i/>
          <w:iCs/>
          <w:szCs w:val="24"/>
        </w:rPr>
        <w:t>6</w:t>
      </w:r>
      <w:r>
        <w:rPr>
          <w:rFonts w:ascii="Times New Roman" w:hAnsi="Times New Roman" w:cs="Times New Roman"/>
          <w:szCs w:val="24"/>
        </w:rPr>
        <w:t>(1), 23–32. https://ejournal2.undip.ac.id/index.php/agrisocionomics/article/view/10105%0Ahttps://ejournal2.undip.ac.id/index.php/agrisocionomics/article/download/10105/7279</w:t>
      </w:r>
    </w:p>
    <w:p w14:paraId="156E1A09">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Susilowati, S. H. (2016). Fenomena Penuaan Petani dan Berkurangnya Tenaga Kerja Muda serta Implikasinya bagi Kebijakan Pembangunan Pertanian. </w:t>
      </w:r>
      <w:r>
        <w:rPr>
          <w:rFonts w:ascii="Times New Roman" w:hAnsi="Times New Roman" w:cs="Times New Roman"/>
          <w:i/>
          <w:iCs/>
          <w:szCs w:val="24"/>
        </w:rPr>
        <w:t>Forum Penelitian Agro Ekonomi</w:t>
      </w:r>
      <w:r>
        <w:rPr>
          <w:rFonts w:ascii="Times New Roman" w:hAnsi="Times New Roman" w:cs="Times New Roman"/>
          <w:szCs w:val="24"/>
        </w:rPr>
        <w:t xml:space="preserve">, </w:t>
      </w:r>
      <w:r>
        <w:rPr>
          <w:rFonts w:ascii="Times New Roman" w:hAnsi="Times New Roman" w:cs="Times New Roman"/>
          <w:i/>
          <w:iCs/>
          <w:szCs w:val="24"/>
        </w:rPr>
        <w:t>34</w:t>
      </w:r>
      <w:r>
        <w:rPr>
          <w:rFonts w:ascii="Times New Roman" w:hAnsi="Times New Roman" w:cs="Times New Roman"/>
          <w:szCs w:val="24"/>
        </w:rPr>
        <w:t>(1), 35. https://doi.org/10.21082/fae.v34n1.2016.35-55</w:t>
      </w:r>
    </w:p>
    <w:p w14:paraId="3BE9838B">
      <w:pPr>
        <w:widowControl w:val="0"/>
        <w:autoSpaceDE w:val="0"/>
        <w:autoSpaceDN w:val="0"/>
        <w:adjustRightInd w:val="0"/>
        <w:spacing w:after="80" w:line="240" w:lineRule="exact"/>
        <w:ind w:left="480" w:hanging="480"/>
        <w:jc w:val="both"/>
        <w:rPr>
          <w:rFonts w:ascii="Times New Roman" w:hAnsi="Times New Roman" w:cs="Times New Roman"/>
          <w:szCs w:val="24"/>
        </w:rPr>
      </w:pPr>
      <w:r>
        <w:rPr>
          <w:rFonts w:ascii="Times New Roman" w:hAnsi="Times New Roman" w:cs="Times New Roman"/>
          <w:szCs w:val="24"/>
        </w:rPr>
        <w:t xml:space="preserve">Türker, M. (2024). Impact of Young Farmers Supports on the young farmers’ willingness to continue farm activities: A case of TR52 region in Türkiye. </w:t>
      </w:r>
      <w:r>
        <w:rPr>
          <w:rFonts w:ascii="Times New Roman" w:hAnsi="Times New Roman" w:cs="Times New Roman"/>
          <w:i/>
          <w:iCs/>
          <w:szCs w:val="24"/>
        </w:rPr>
        <w:t>New Medit</w:t>
      </w:r>
      <w:r>
        <w:rPr>
          <w:rFonts w:ascii="Times New Roman" w:hAnsi="Times New Roman" w:cs="Times New Roman"/>
          <w:szCs w:val="24"/>
        </w:rPr>
        <w:t xml:space="preserve">, </w:t>
      </w:r>
      <w:r>
        <w:rPr>
          <w:rFonts w:ascii="Times New Roman" w:hAnsi="Times New Roman" w:cs="Times New Roman"/>
          <w:i/>
          <w:iCs/>
          <w:szCs w:val="24"/>
        </w:rPr>
        <w:t>2024</w:t>
      </w:r>
      <w:r>
        <w:rPr>
          <w:rFonts w:ascii="Times New Roman" w:hAnsi="Times New Roman" w:cs="Times New Roman"/>
          <w:szCs w:val="24"/>
        </w:rPr>
        <w:t>(1), 103–114. https://doi.org/10.30682/nm2401g</w:t>
      </w:r>
    </w:p>
    <w:p w14:paraId="08682EC9">
      <w:pPr>
        <w:widowControl w:val="0"/>
        <w:autoSpaceDE w:val="0"/>
        <w:autoSpaceDN w:val="0"/>
        <w:adjustRightInd w:val="0"/>
        <w:spacing w:after="80" w:line="240" w:lineRule="exact"/>
        <w:ind w:left="480" w:hanging="480"/>
        <w:jc w:val="both"/>
        <w:rPr>
          <w:rFonts w:ascii="Times New Roman" w:hAnsi="Times New Roman" w:cs="Times New Roman"/>
        </w:rPr>
      </w:pPr>
      <w:r>
        <w:rPr>
          <w:rFonts w:ascii="Times New Roman" w:hAnsi="Times New Roman" w:cs="Times New Roman"/>
          <w:szCs w:val="24"/>
        </w:rPr>
        <w:t xml:space="preserve">Yamin, M., &amp; Ayuningsih, D. F. (2023). Analisis Minat Anak Petani Padi menajdi Petani Di Desa Pasemah Air Keruh Sumatera Selatan. </w:t>
      </w:r>
      <w:r>
        <w:rPr>
          <w:rFonts w:ascii="Times New Roman" w:hAnsi="Times New Roman" w:cs="Times New Roman"/>
          <w:i/>
          <w:iCs/>
          <w:szCs w:val="24"/>
        </w:rPr>
        <w:t>Jurnal Ilmiah Membangun Desa Dan Pertanian</w:t>
      </w:r>
      <w:r>
        <w:rPr>
          <w:rFonts w:ascii="Times New Roman" w:hAnsi="Times New Roman" w:cs="Times New Roman"/>
          <w:szCs w:val="24"/>
        </w:rPr>
        <w:t xml:space="preserve">, </w:t>
      </w:r>
      <w:r>
        <w:rPr>
          <w:rFonts w:ascii="Times New Roman" w:hAnsi="Times New Roman" w:cs="Times New Roman"/>
          <w:i/>
          <w:iCs/>
          <w:szCs w:val="24"/>
        </w:rPr>
        <w:t>8</w:t>
      </w:r>
      <w:r>
        <w:rPr>
          <w:rFonts w:ascii="Times New Roman" w:hAnsi="Times New Roman" w:cs="Times New Roman"/>
          <w:szCs w:val="24"/>
        </w:rPr>
        <w:t xml:space="preserve">(2), 68–67. https://doi.org/doi: https://doi.org/10.37149/JIMDP.v8i2.206 </w:t>
      </w:r>
    </w:p>
    <w:p w14:paraId="51F90981">
      <w:pPr>
        <w:pStyle w:val="16"/>
        <w:spacing w:after="80" w:line="240" w:lineRule="exact"/>
        <w:jc w:val="both"/>
        <w:rPr>
          <w:b/>
          <w:bCs/>
          <w:sz w:val="22"/>
          <w:szCs w:val="22"/>
        </w:rPr>
      </w:pPr>
      <w:r>
        <w:rPr>
          <w:b/>
          <w:bCs/>
          <w:sz w:val="22"/>
          <w:szCs w:val="22"/>
        </w:rPr>
        <w:fldChar w:fldCharType="end"/>
      </w:r>
    </w:p>
    <w:p w14:paraId="18ACA6EB">
      <w:pPr>
        <w:pStyle w:val="16"/>
        <w:spacing w:after="80" w:line="240" w:lineRule="exact"/>
        <w:jc w:val="both"/>
        <w:rPr>
          <w:sz w:val="22"/>
          <w:szCs w:val="22"/>
        </w:rPr>
      </w:pPr>
    </w:p>
    <w:p w14:paraId="24E4ADE1">
      <w:pPr>
        <w:spacing w:after="80" w:line="240" w:lineRule="exact"/>
        <w:jc w:val="both"/>
        <w:rPr>
          <w:rFonts w:ascii="Times New Roman" w:hAnsi="Times New Roman" w:cs="Times New Roman"/>
        </w:rPr>
      </w:pPr>
    </w:p>
    <w:p w14:paraId="6A5FFBF1">
      <w:pPr>
        <w:spacing w:after="80" w:line="240" w:lineRule="exact"/>
        <w:jc w:val="both"/>
        <w:rPr>
          <w:rFonts w:ascii="Times New Roman" w:hAnsi="Times New Roman" w:cs="Times New Roman"/>
        </w:rPr>
      </w:pPr>
    </w:p>
    <w:sectPr>
      <w:headerReference r:id="rId5" w:type="default"/>
      <w:footerReference r:id="rId7" w:type="default"/>
      <w:headerReference r:id="rId6" w:type="even"/>
      <w:footerReference r:id="rId8" w:type="even"/>
      <w:type w:val="continuous"/>
      <w:pgSz w:w="11907" w:h="16840"/>
      <w:pgMar w:top="1418" w:right="1418" w:bottom="1418" w:left="1701"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Droid Sans Fallback">
    <w:altName w:val="Yu Gothic"/>
    <w:panose1 w:val="00000000000000000000"/>
    <w:charset w:val="80"/>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045834"/>
      <w:docPartObj>
        <w:docPartGallery w:val="AutoText"/>
      </w:docPartObj>
    </w:sdtPr>
    <w:sdtEndPr>
      <w:rPr>
        <w:rFonts w:ascii="Times New Roman" w:hAnsi="Times New Roman"/>
        <w:sz w:val="20"/>
        <w:szCs w:val="20"/>
      </w:rPr>
    </w:sdtEndPr>
    <w:sdtContent>
      <w:p w14:paraId="3D4C8C43">
        <w:pPr>
          <w:pStyle w:val="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568175"/>
      <w:docPartObj>
        <w:docPartGallery w:val="AutoText"/>
      </w:docPartObj>
    </w:sdtPr>
    <w:sdtEndPr>
      <w:rPr>
        <w:rFonts w:ascii="Times New Roman" w:hAnsi="Times New Roman"/>
        <w:sz w:val="20"/>
        <w:szCs w:val="20"/>
      </w:rPr>
    </w:sdtEndPr>
    <w:sdtContent>
      <w:p w14:paraId="34356749">
        <w:pPr>
          <w:pStyle w:val="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6D57">
    <w:pPr>
      <w:pStyle w:val="3"/>
      <w:spacing w:before="0" w:line="240" w:lineRule="auto"/>
      <w:rPr>
        <w:rFonts w:ascii="Times New Roman" w:hAnsi="Times New Roman" w:eastAsia="Times New Roman" w:cs="Times New Roman"/>
        <w:b w:val="0"/>
        <w:color w:val="auto"/>
        <w:sz w:val="18"/>
        <w:szCs w:val="18"/>
      </w:rPr>
    </w:pPr>
    <w:r>
      <w:rPr>
        <w:rFonts w:ascii="Times New Roman" w:hAnsi="Times New Roman" w:eastAsia="Times New Roman" w:cs="Times New Roman"/>
        <w:b w:val="0"/>
        <w:color w:val="auto"/>
        <w:sz w:val="18"/>
        <w:szCs w:val="18"/>
      </w:rPr>
      <w:t>Mimbar Agribisnis: Jurnal Pemikiran Masyarakat Ilmiah Berwawasan Agribisnis</w:t>
    </w:r>
  </w:p>
  <w:p w14:paraId="6EA28163">
    <w:pPr>
      <w:pStyle w:val="9"/>
      <w:rPr>
        <w:rFonts w:ascii="Times New Roman" w:hAnsi="Times New Roman" w:eastAsia="Times New Roman" w:cs="Times New Roman"/>
        <w:sz w:val="18"/>
        <w:szCs w:val="18"/>
      </w:rPr>
    </w:pPr>
    <w:r>
      <w:rPr>
        <w:rFonts w:ascii="Times New Roman" w:hAnsi="Times New Roman" w:eastAsia="Times New Roman" w:cs="Times New Roman"/>
        <w:sz w:val="18"/>
        <w:szCs w:val="18"/>
      </w:rPr>
      <w:t>P-ISSN: 2460-4321, E-ISSN: 2579-8340</w:t>
    </w:r>
  </w:p>
  <w:p w14:paraId="6B4AAA8C">
    <w:pPr>
      <w:pStyle w:val="9"/>
      <w:rPr>
        <w:sz w:val="18"/>
        <w:szCs w:val="18"/>
      </w:rPr>
    </w:pPr>
    <w:r>
      <w:rPr>
        <w:rFonts w:ascii="Times New Roman" w:hAnsi="Times New Roman" w:eastAsia="Times New Roman" w:cs="Times New Roman"/>
        <w:sz w:val="18"/>
        <w:szCs w:val="18"/>
      </w:rPr>
      <w:t>Volume, Nomor, Bulan Tahun: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CF1C">
    <w:pPr>
      <w:pStyle w:val="9"/>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 xml:space="preserve">Strength of Social Environmental Support and Off-Farm Accessibility as Determinants of Young Farmers' Willingness to Persist in Agriculture </w:t>
    </w:r>
  </w:p>
  <w:p w14:paraId="1888EB52">
    <w:pPr>
      <w:pStyle w:val="9"/>
      <w:rPr>
        <w:sz w:val="18"/>
        <w:szCs w:val="18"/>
      </w:rPr>
    </w:pPr>
    <w:r>
      <w:rPr>
        <w:rFonts w:ascii="Times New Roman" w:hAnsi="Times New Roman" w:cs="Times New Roman"/>
        <w:sz w:val="18"/>
        <w:szCs w:val="18"/>
        <w:lang w:val="id-ID"/>
      </w:rPr>
      <w:t>Wanti Fitrianti, Jajat Sudrakat, Adi Suyatno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2EBA"/>
    <w:multiLevelType w:val="multilevel"/>
    <w:tmpl w:val="1B2C2EB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741663"/>
    <w:multiLevelType w:val="multilevel"/>
    <w:tmpl w:val="25741663"/>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3D0F326E"/>
    <w:multiLevelType w:val="multilevel"/>
    <w:tmpl w:val="3D0F326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886121A"/>
    <w:multiLevelType w:val="multilevel"/>
    <w:tmpl w:val="4886121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mirrorMargins w:val="1"/>
  <w:hideSpellingErrors/>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D7895"/>
    <w:rsid w:val="0000058B"/>
    <w:rsid w:val="00004C70"/>
    <w:rsid w:val="00014963"/>
    <w:rsid w:val="00017E87"/>
    <w:rsid w:val="00030830"/>
    <w:rsid w:val="00033719"/>
    <w:rsid w:val="00062430"/>
    <w:rsid w:val="00071F37"/>
    <w:rsid w:val="00097251"/>
    <w:rsid w:val="000A3FE2"/>
    <w:rsid w:val="000A554B"/>
    <w:rsid w:val="000A5741"/>
    <w:rsid w:val="000B284F"/>
    <w:rsid w:val="000F1EF4"/>
    <w:rsid w:val="000F5501"/>
    <w:rsid w:val="001048EB"/>
    <w:rsid w:val="00104C09"/>
    <w:rsid w:val="001165A4"/>
    <w:rsid w:val="00127B2B"/>
    <w:rsid w:val="00130201"/>
    <w:rsid w:val="001410BC"/>
    <w:rsid w:val="001524A8"/>
    <w:rsid w:val="00164850"/>
    <w:rsid w:val="0017476F"/>
    <w:rsid w:val="001748D4"/>
    <w:rsid w:val="0018698A"/>
    <w:rsid w:val="00196A17"/>
    <w:rsid w:val="001A0756"/>
    <w:rsid w:val="001C435F"/>
    <w:rsid w:val="001C7373"/>
    <w:rsid w:val="001F5223"/>
    <w:rsid w:val="001F6FC0"/>
    <w:rsid w:val="0021094C"/>
    <w:rsid w:val="00213CDE"/>
    <w:rsid w:val="00236844"/>
    <w:rsid w:val="0024288D"/>
    <w:rsid w:val="00246AA4"/>
    <w:rsid w:val="0025287C"/>
    <w:rsid w:val="00255E8D"/>
    <w:rsid w:val="00261C20"/>
    <w:rsid w:val="0026701C"/>
    <w:rsid w:val="002849C6"/>
    <w:rsid w:val="0029385F"/>
    <w:rsid w:val="00297038"/>
    <w:rsid w:val="00297212"/>
    <w:rsid w:val="002C0342"/>
    <w:rsid w:val="002C28CF"/>
    <w:rsid w:val="002D6C76"/>
    <w:rsid w:val="002E045A"/>
    <w:rsid w:val="002F5808"/>
    <w:rsid w:val="003003C0"/>
    <w:rsid w:val="00310170"/>
    <w:rsid w:val="003166D6"/>
    <w:rsid w:val="00317D09"/>
    <w:rsid w:val="003236A7"/>
    <w:rsid w:val="00335919"/>
    <w:rsid w:val="00345D18"/>
    <w:rsid w:val="00350DE0"/>
    <w:rsid w:val="003521F4"/>
    <w:rsid w:val="00353C4E"/>
    <w:rsid w:val="00353E09"/>
    <w:rsid w:val="00356F4F"/>
    <w:rsid w:val="003735F6"/>
    <w:rsid w:val="00392E9E"/>
    <w:rsid w:val="003A6624"/>
    <w:rsid w:val="003E4393"/>
    <w:rsid w:val="003F4C48"/>
    <w:rsid w:val="003F512B"/>
    <w:rsid w:val="003F70E5"/>
    <w:rsid w:val="00403491"/>
    <w:rsid w:val="004069D7"/>
    <w:rsid w:val="00416818"/>
    <w:rsid w:val="00427C95"/>
    <w:rsid w:val="004307C8"/>
    <w:rsid w:val="00433CD4"/>
    <w:rsid w:val="004620A7"/>
    <w:rsid w:val="00464BC8"/>
    <w:rsid w:val="004713F5"/>
    <w:rsid w:val="00473B87"/>
    <w:rsid w:val="004A0E6F"/>
    <w:rsid w:val="004A2409"/>
    <w:rsid w:val="004A68E4"/>
    <w:rsid w:val="004B4A64"/>
    <w:rsid w:val="004B4E7F"/>
    <w:rsid w:val="004D0516"/>
    <w:rsid w:val="004D4036"/>
    <w:rsid w:val="004D43AF"/>
    <w:rsid w:val="004F11BA"/>
    <w:rsid w:val="004F5C7C"/>
    <w:rsid w:val="004F6649"/>
    <w:rsid w:val="004F675D"/>
    <w:rsid w:val="004F71FA"/>
    <w:rsid w:val="005152D0"/>
    <w:rsid w:val="00547F5E"/>
    <w:rsid w:val="00570693"/>
    <w:rsid w:val="00574E68"/>
    <w:rsid w:val="005A2A66"/>
    <w:rsid w:val="005A71BD"/>
    <w:rsid w:val="005B1FBA"/>
    <w:rsid w:val="005E27D2"/>
    <w:rsid w:val="005E3C63"/>
    <w:rsid w:val="005F122C"/>
    <w:rsid w:val="00607CD3"/>
    <w:rsid w:val="00620CE2"/>
    <w:rsid w:val="0064463B"/>
    <w:rsid w:val="00647ADC"/>
    <w:rsid w:val="0066677C"/>
    <w:rsid w:val="00682BF8"/>
    <w:rsid w:val="00697C07"/>
    <w:rsid w:val="006A0858"/>
    <w:rsid w:val="006B39BC"/>
    <w:rsid w:val="006E1DC9"/>
    <w:rsid w:val="006E57C0"/>
    <w:rsid w:val="006F29FB"/>
    <w:rsid w:val="00725D32"/>
    <w:rsid w:val="00743C0D"/>
    <w:rsid w:val="00757FE8"/>
    <w:rsid w:val="00765502"/>
    <w:rsid w:val="00770684"/>
    <w:rsid w:val="00772104"/>
    <w:rsid w:val="00774FB0"/>
    <w:rsid w:val="00782B6D"/>
    <w:rsid w:val="00786CA3"/>
    <w:rsid w:val="007944B5"/>
    <w:rsid w:val="00795017"/>
    <w:rsid w:val="007978ED"/>
    <w:rsid w:val="007A09D8"/>
    <w:rsid w:val="007A4FC6"/>
    <w:rsid w:val="007B7F03"/>
    <w:rsid w:val="007C038F"/>
    <w:rsid w:val="007D2E0D"/>
    <w:rsid w:val="007E02EE"/>
    <w:rsid w:val="007F2A3F"/>
    <w:rsid w:val="00827592"/>
    <w:rsid w:val="00835E29"/>
    <w:rsid w:val="008373C7"/>
    <w:rsid w:val="00851BAB"/>
    <w:rsid w:val="00851F78"/>
    <w:rsid w:val="00853CE7"/>
    <w:rsid w:val="00870093"/>
    <w:rsid w:val="0087124F"/>
    <w:rsid w:val="008879B0"/>
    <w:rsid w:val="008A4A72"/>
    <w:rsid w:val="008D16E3"/>
    <w:rsid w:val="008E421A"/>
    <w:rsid w:val="008F16D3"/>
    <w:rsid w:val="00900751"/>
    <w:rsid w:val="00912D9A"/>
    <w:rsid w:val="00917C46"/>
    <w:rsid w:val="0092757A"/>
    <w:rsid w:val="0093138F"/>
    <w:rsid w:val="009317B4"/>
    <w:rsid w:val="00940F3B"/>
    <w:rsid w:val="009602D5"/>
    <w:rsid w:val="009774CD"/>
    <w:rsid w:val="00991960"/>
    <w:rsid w:val="00991DC3"/>
    <w:rsid w:val="00994226"/>
    <w:rsid w:val="009A4064"/>
    <w:rsid w:val="009A7441"/>
    <w:rsid w:val="009B1779"/>
    <w:rsid w:val="009B7B20"/>
    <w:rsid w:val="009C02D3"/>
    <w:rsid w:val="009C3EEC"/>
    <w:rsid w:val="009D2941"/>
    <w:rsid w:val="009D7895"/>
    <w:rsid w:val="009E6BCE"/>
    <w:rsid w:val="009E789C"/>
    <w:rsid w:val="009F6651"/>
    <w:rsid w:val="00A32115"/>
    <w:rsid w:val="00A506BE"/>
    <w:rsid w:val="00A52E92"/>
    <w:rsid w:val="00A84FD5"/>
    <w:rsid w:val="00A8692B"/>
    <w:rsid w:val="00A93DD9"/>
    <w:rsid w:val="00A964E7"/>
    <w:rsid w:val="00AD7301"/>
    <w:rsid w:val="00AF7A64"/>
    <w:rsid w:val="00B04F69"/>
    <w:rsid w:val="00B17256"/>
    <w:rsid w:val="00B21D92"/>
    <w:rsid w:val="00B22196"/>
    <w:rsid w:val="00B5466C"/>
    <w:rsid w:val="00B55BB8"/>
    <w:rsid w:val="00B70525"/>
    <w:rsid w:val="00B71642"/>
    <w:rsid w:val="00B93218"/>
    <w:rsid w:val="00B96ED2"/>
    <w:rsid w:val="00BA100D"/>
    <w:rsid w:val="00BA2699"/>
    <w:rsid w:val="00BA4263"/>
    <w:rsid w:val="00BC29B1"/>
    <w:rsid w:val="00BD3726"/>
    <w:rsid w:val="00BE6DF0"/>
    <w:rsid w:val="00BF0D8D"/>
    <w:rsid w:val="00C04B4C"/>
    <w:rsid w:val="00C10255"/>
    <w:rsid w:val="00C35B99"/>
    <w:rsid w:val="00C44C30"/>
    <w:rsid w:val="00C7583E"/>
    <w:rsid w:val="00CB4F38"/>
    <w:rsid w:val="00CC309F"/>
    <w:rsid w:val="00D40C33"/>
    <w:rsid w:val="00D41357"/>
    <w:rsid w:val="00D42A5E"/>
    <w:rsid w:val="00D5650D"/>
    <w:rsid w:val="00D6363E"/>
    <w:rsid w:val="00D652EC"/>
    <w:rsid w:val="00D6608F"/>
    <w:rsid w:val="00D712DE"/>
    <w:rsid w:val="00D7384F"/>
    <w:rsid w:val="00D82E15"/>
    <w:rsid w:val="00D97ECC"/>
    <w:rsid w:val="00DA1703"/>
    <w:rsid w:val="00DA7CEF"/>
    <w:rsid w:val="00DB4E45"/>
    <w:rsid w:val="00DC0BF3"/>
    <w:rsid w:val="00DC523B"/>
    <w:rsid w:val="00E05205"/>
    <w:rsid w:val="00E138B1"/>
    <w:rsid w:val="00E225A2"/>
    <w:rsid w:val="00E53037"/>
    <w:rsid w:val="00E572AD"/>
    <w:rsid w:val="00E659B7"/>
    <w:rsid w:val="00E65CEF"/>
    <w:rsid w:val="00E8222F"/>
    <w:rsid w:val="00E936B8"/>
    <w:rsid w:val="00E96B2E"/>
    <w:rsid w:val="00EB3CBA"/>
    <w:rsid w:val="00EB6369"/>
    <w:rsid w:val="00EC020F"/>
    <w:rsid w:val="00EC1159"/>
    <w:rsid w:val="00EC433A"/>
    <w:rsid w:val="00EE1C3B"/>
    <w:rsid w:val="00EE2A84"/>
    <w:rsid w:val="00EE6EFD"/>
    <w:rsid w:val="00EE7AB2"/>
    <w:rsid w:val="00EF5AFE"/>
    <w:rsid w:val="00F02864"/>
    <w:rsid w:val="00F20DB5"/>
    <w:rsid w:val="00F22F75"/>
    <w:rsid w:val="00F2350A"/>
    <w:rsid w:val="00F236A0"/>
    <w:rsid w:val="00F251C2"/>
    <w:rsid w:val="00F270E4"/>
    <w:rsid w:val="00F47D2E"/>
    <w:rsid w:val="00F518C0"/>
    <w:rsid w:val="00F53822"/>
    <w:rsid w:val="00F573CE"/>
    <w:rsid w:val="00F747D9"/>
    <w:rsid w:val="00FA12F8"/>
    <w:rsid w:val="00FB310B"/>
    <w:rsid w:val="00FD389B"/>
    <w:rsid w:val="00FD68B8"/>
    <w:rsid w:val="00FD6C3A"/>
    <w:rsid w:val="00FD758E"/>
    <w:rsid w:val="00FE15FD"/>
    <w:rsid w:val="00FE42F6"/>
    <w:rsid w:val="00FF049B"/>
    <w:rsid w:val="00FF18F1"/>
    <w:rsid w:val="00FF554C"/>
    <w:rsid w:val="46227E8C"/>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240" w:after="0" w:line="259" w:lineRule="auto"/>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next w:val="1"/>
    <w:link w:val="2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3"/>
    <w:semiHidden/>
    <w:unhideWhenUsed/>
    <w:uiPriority w:val="99"/>
    <w:pPr>
      <w:spacing w:after="0" w:line="240" w:lineRule="auto"/>
    </w:pPr>
    <w:rPr>
      <w:rFonts w:ascii="Tahoma" w:hAnsi="Tahoma" w:cs="Tahoma"/>
      <w:sz w:val="16"/>
      <w:szCs w:val="16"/>
    </w:rPr>
  </w:style>
  <w:style w:type="paragraph" w:styleId="8">
    <w:name w:val="footer"/>
    <w:basedOn w:val="1"/>
    <w:link w:val="14"/>
    <w:unhideWhenUsed/>
    <w:qFormat/>
    <w:uiPriority w:val="99"/>
    <w:pPr>
      <w:tabs>
        <w:tab w:val="center" w:pos="4680"/>
        <w:tab w:val="right" w:pos="9360"/>
      </w:tabs>
      <w:spacing w:after="0" w:line="240" w:lineRule="auto"/>
    </w:pPr>
    <w:rPr>
      <w:rFonts w:ascii="Calibri" w:hAnsi="Calibri" w:eastAsia="Times New Roman" w:cs="Times New Roman"/>
      <w:lang w:val="id-ID" w:eastAsia="id-ID"/>
    </w:rPr>
  </w:style>
  <w:style w:type="paragraph" w:styleId="9">
    <w:name w:val="header"/>
    <w:basedOn w:val="1"/>
    <w:link w:val="19"/>
    <w:unhideWhenUsed/>
    <w:qFormat/>
    <w:uiPriority w:val="99"/>
    <w:pPr>
      <w:tabs>
        <w:tab w:val="center" w:pos="4513"/>
        <w:tab w:val="right" w:pos="9026"/>
      </w:tabs>
      <w:spacing w:after="0" w:line="240" w:lineRule="auto"/>
    </w:pPr>
  </w:style>
  <w:style w:type="character" w:styleId="10">
    <w:name w:val="Hyperlink"/>
    <w:basedOn w:val="5"/>
    <w:unhideWhenUsed/>
    <w:qFormat/>
    <w:uiPriority w:val="99"/>
    <w:rPr>
      <w:color w:val="0000FF" w:themeColor="hyperlink"/>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2">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Balloon Text Char"/>
    <w:basedOn w:val="5"/>
    <w:link w:val="7"/>
    <w:semiHidden/>
    <w:qFormat/>
    <w:uiPriority w:val="99"/>
    <w:rPr>
      <w:rFonts w:ascii="Tahoma" w:hAnsi="Tahoma" w:cs="Tahoma"/>
      <w:sz w:val="16"/>
      <w:szCs w:val="16"/>
    </w:rPr>
  </w:style>
  <w:style w:type="character" w:customStyle="1" w:styleId="14">
    <w:name w:val="Footer Char"/>
    <w:basedOn w:val="5"/>
    <w:link w:val="8"/>
    <w:qFormat/>
    <w:uiPriority w:val="99"/>
    <w:rPr>
      <w:rFonts w:ascii="Calibri" w:hAnsi="Calibri" w:eastAsia="Times New Roman" w:cs="Times New Roman"/>
      <w:lang w:val="id-ID" w:eastAsia="id-ID"/>
    </w:rPr>
  </w:style>
  <w:style w:type="character" w:customStyle="1" w:styleId="15">
    <w:name w:val="short_text"/>
    <w:basedOn w:val="5"/>
    <w:uiPriority w:val="0"/>
    <w:rPr>
      <w:rFonts w:cs="Times New Roman"/>
    </w:rPr>
  </w:style>
  <w:style w:type="paragraph" w:customStyle="1" w:styleId="16">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styleId="17">
    <w:name w:val="List Paragraph"/>
    <w:basedOn w:val="1"/>
    <w:qFormat/>
    <w:uiPriority w:val="34"/>
    <w:pPr>
      <w:ind w:left="720"/>
      <w:contextualSpacing/>
    </w:pPr>
    <w:rPr>
      <w:lang w:val="id-ID"/>
    </w:rPr>
  </w:style>
  <w:style w:type="character" w:customStyle="1" w:styleId="18">
    <w:name w:val="Heading 3 Char"/>
    <w:basedOn w:val="5"/>
    <w:link w:val="4"/>
    <w:qFormat/>
    <w:uiPriority w:val="9"/>
    <w:rPr>
      <w:rFonts w:ascii="Times New Roman" w:hAnsi="Times New Roman" w:eastAsia="Times New Roman" w:cs="Times New Roman"/>
      <w:b/>
      <w:bCs/>
      <w:sz w:val="27"/>
      <w:szCs w:val="27"/>
    </w:rPr>
  </w:style>
  <w:style w:type="character" w:customStyle="1" w:styleId="19">
    <w:name w:val="Header Char"/>
    <w:basedOn w:val="5"/>
    <w:link w:val="9"/>
    <w:uiPriority w:val="99"/>
  </w:style>
  <w:style w:type="character" w:customStyle="1" w:styleId="20">
    <w:name w:val="Heading 2 Char"/>
    <w:basedOn w:val="5"/>
    <w:link w:val="3"/>
    <w:qFormat/>
    <w:uiPriority w:val="9"/>
    <w:rPr>
      <w:rFonts w:asciiTheme="majorHAnsi" w:hAnsiTheme="majorHAnsi" w:eastAsiaTheme="majorEastAsia" w:cstheme="majorBidi"/>
      <w:b/>
      <w:bCs/>
      <w:color w:val="4F81BD" w:themeColor="accent1"/>
      <w:sz w:val="26"/>
      <w:szCs w:val="26"/>
    </w:rPr>
  </w:style>
  <w:style w:type="paragraph" w:styleId="21">
    <w:name w:val="No Spacing"/>
    <w:qFormat/>
    <w:uiPriority w:val="1"/>
    <w:pPr>
      <w:widowControl w:val="0"/>
      <w:suppressAutoHyphens/>
      <w:spacing w:after="0" w:line="240" w:lineRule="auto"/>
    </w:pPr>
    <w:rPr>
      <w:rFonts w:ascii="Times New Roman" w:hAnsi="Times New Roman" w:eastAsia="Droid Sans Fallback" w:cs="Mangal"/>
      <w:kern w:val="2"/>
      <w:sz w:val="24"/>
      <w:szCs w:val="21"/>
      <w:lang w:val="en-US" w:eastAsia="hi-IN" w:bidi="hi-IN"/>
    </w:rPr>
  </w:style>
  <w:style w:type="character" w:customStyle="1" w:styleId="22">
    <w:name w:val="Unresolved Mention"/>
    <w:basedOn w:val="5"/>
    <w:semiHidden/>
    <w:unhideWhenUsed/>
    <w:qFormat/>
    <w:uiPriority w:val="99"/>
    <w:rPr>
      <w:color w:val="605E5C"/>
      <w:shd w:val="clear" w:color="auto" w:fill="E1DFDD"/>
    </w:rPr>
  </w:style>
  <w:style w:type="character" w:customStyle="1" w:styleId="23">
    <w:name w:val="Heading 1 Char"/>
    <w:basedOn w:val="5"/>
    <w:link w:val="2"/>
    <w:uiPriority w:val="9"/>
    <w:rPr>
      <w:rFonts w:asciiTheme="majorHAnsi" w:hAnsiTheme="majorHAnsi" w:eastAsiaTheme="majorEastAsia" w:cstheme="majorBidi"/>
      <w:color w:val="366091"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5DF5-6B57-4366-B31E-42D308FFCFB9}">
  <ds:schemaRefs/>
</ds:datastoreItem>
</file>

<file path=docProps/app.xml><?xml version="1.0" encoding="utf-8"?>
<Properties xmlns="http://schemas.openxmlformats.org/officeDocument/2006/extended-properties" xmlns:vt="http://schemas.openxmlformats.org/officeDocument/2006/docPropsVTypes">
  <Template>Normal</Template>
  <Pages>11</Pages>
  <Words>21345</Words>
  <Characters>121669</Characters>
  <Lines>1013</Lines>
  <Paragraphs>285</Paragraphs>
  <TotalTime>26</TotalTime>
  <ScaleCrop>false</ScaleCrop>
  <LinksUpToDate>false</LinksUpToDate>
  <CharactersWithSpaces>142729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2018-11-23T04:53:00Z</dcterms:created>
  <dc:creator>Sony Vaio</dc:creator>
  <cp:lastModifiedBy>Wanti Fitrianti</cp:lastModifiedBy>
  <cp:lastPrinted>2019-01-13T05:56:00Z</cp:lastPrinted>
  <dcterms:modified xsi:type="dcterms:W3CDTF">2024-10-16T15:49:20Z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5629e101-ceb7-3816-8931-5b95ddec446a</vt:lpwstr>
  </property>
  <property fmtid="{D5CDD505-2E9C-101B-9397-08002B2CF9AE}" pid="4" name="Mendeley Citation Style_1">
    <vt:lpwstr>http://www.zotero.org/styles/apa</vt:lpwstr>
  </property>
  <property fmtid="{D5CDD505-2E9C-101B-9397-08002B2CF9AE}" pid="5" name="KSOProductBuildVer">
    <vt:lpwstr>1033-12.2.0.18283</vt:lpwstr>
  </property>
  <property fmtid="{D5CDD505-2E9C-101B-9397-08002B2CF9AE}" pid="6" name="ICV">
    <vt:lpwstr>69DCB39F79194285AEFF58EF0034359C_12</vt:lpwstr>
  </property>
</Properties>
</file>